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2248">
      <w:pPr>
        <w:rPr>
          <w:rFonts w:hint="eastAsia" w:ascii="仿宋_GB2312" w:hAnsi="仿宋_GB2312" w:eastAsia="仿宋_GB2312" w:cs="仿宋_GB2312"/>
          <w:sz w:val="32"/>
          <w:szCs w:val="32"/>
          <w:lang w:val="en-US" w:eastAsia="zh-CN"/>
        </w:rPr>
      </w:pPr>
    </w:p>
    <w:p w14:paraId="12DB3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尚志市庆阳镇</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w:t>
      </w:r>
    </w:p>
    <w:p w14:paraId="49C43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年度报告</w:t>
      </w:r>
    </w:p>
    <w:p w14:paraId="237DF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14:paraId="192CF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在认真总结202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年庆阳镇政府信息公开工作的基础上，</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年12月31日止。本年度报告的电子版</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，可以通过哈尔滨市人民政府门户网站政府信息公开专栏查阅，网址</w:t>
      </w:r>
      <w:r>
        <w:rPr>
          <w:rFonts w:hint="eastAsia" w:ascii="仿宋_GB2312" w:hAnsi="仿宋_GB2312" w:eastAsia="仿宋_GB2312" w:cs="仿宋_GB2312"/>
          <w:i w:val="0"/>
          <w:iCs w:val="0"/>
          <w:caps w:val="0"/>
          <w:color w:val="auto"/>
          <w:spacing w:val="0"/>
          <w:sz w:val="32"/>
          <w:szCs w:val="32"/>
          <w:shd w:val="clear" w:fill="FFFFFF"/>
          <w:lang w:eastAsia="zh-CN"/>
        </w:rPr>
        <w:t>为：</w:t>
      </w:r>
    </w:p>
    <w:p w14:paraId="4DDD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http://www.shangzhi.gov.cn/szsrmzf/c100023/xxgklist_nianbao.shtml。如对本报告有疑问，请联系尚志市</w:t>
      </w:r>
      <w:r>
        <w:rPr>
          <w:rFonts w:hint="eastAsia" w:ascii="仿宋_GB2312" w:hAnsi="仿宋_GB2312" w:eastAsia="仿宋_GB2312" w:cs="仿宋_GB2312"/>
          <w:i w:val="0"/>
          <w:iCs w:val="0"/>
          <w:caps w:val="0"/>
          <w:color w:val="auto"/>
          <w:spacing w:val="0"/>
          <w:sz w:val="32"/>
          <w:szCs w:val="32"/>
          <w:shd w:val="clear" w:fill="FFFFFF"/>
          <w:lang w:val="en-US" w:eastAsia="zh-CN"/>
        </w:rPr>
        <w:t>庆阳镇</w:t>
      </w:r>
      <w:r>
        <w:rPr>
          <w:rFonts w:hint="eastAsia" w:ascii="仿宋_GB2312" w:hAnsi="仿宋_GB2312" w:eastAsia="仿宋_GB2312" w:cs="仿宋_GB2312"/>
          <w:i w:val="0"/>
          <w:iCs w:val="0"/>
          <w:caps w:val="0"/>
          <w:color w:val="auto"/>
          <w:spacing w:val="0"/>
          <w:sz w:val="32"/>
          <w:szCs w:val="32"/>
          <w:shd w:val="clear" w:fill="FFFFFF"/>
        </w:rPr>
        <w:t>人民政府办公室，地址：</w:t>
      </w:r>
      <w:r>
        <w:rPr>
          <w:rFonts w:hint="eastAsia" w:ascii="仿宋_GB2312" w:hAnsi="仿宋_GB2312" w:eastAsia="仿宋_GB2312" w:cs="仿宋_GB2312"/>
          <w:i w:val="0"/>
          <w:iCs w:val="0"/>
          <w:caps w:val="0"/>
          <w:color w:val="auto"/>
          <w:spacing w:val="0"/>
          <w:sz w:val="32"/>
          <w:szCs w:val="32"/>
          <w:shd w:val="clear" w:fill="FFFFFF"/>
          <w:lang w:val="en-US" w:eastAsia="zh-CN"/>
        </w:rPr>
        <w:t>庆阳镇政府街</w:t>
      </w:r>
      <w:r>
        <w:rPr>
          <w:rFonts w:hint="eastAsia" w:ascii="仿宋_GB2312" w:hAnsi="仿宋_GB2312" w:eastAsia="仿宋_GB2312" w:cs="仿宋_GB2312"/>
          <w:i w:val="0"/>
          <w:iCs w:val="0"/>
          <w:caps w:val="0"/>
          <w:color w:val="auto"/>
          <w:spacing w:val="0"/>
          <w:sz w:val="32"/>
          <w:szCs w:val="32"/>
          <w:shd w:val="clear" w:fill="FFFFFF"/>
        </w:rPr>
        <w:t>5号，邮编：1506</w:t>
      </w:r>
      <w:r>
        <w:rPr>
          <w:rFonts w:hint="eastAsia" w:ascii="仿宋_GB2312" w:hAnsi="仿宋_GB2312" w:eastAsia="仿宋_GB2312" w:cs="仿宋_GB2312"/>
          <w:i w:val="0"/>
          <w:iCs w:val="0"/>
          <w:caps w:val="0"/>
          <w:color w:val="auto"/>
          <w:spacing w:val="0"/>
          <w:sz w:val="32"/>
          <w:szCs w:val="32"/>
          <w:shd w:val="clear" w:fill="FFFFFF"/>
          <w:lang w:val="en-US" w:eastAsia="zh-CN"/>
        </w:rPr>
        <w:t>34</w:t>
      </w:r>
      <w:r>
        <w:rPr>
          <w:rFonts w:hint="eastAsia" w:ascii="仿宋_GB2312" w:hAnsi="仿宋_GB2312" w:eastAsia="仿宋_GB2312" w:cs="仿宋_GB2312"/>
          <w:i w:val="0"/>
          <w:iCs w:val="0"/>
          <w:caps w:val="0"/>
          <w:color w:val="auto"/>
          <w:spacing w:val="0"/>
          <w:sz w:val="32"/>
          <w:szCs w:val="32"/>
          <w:shd w:val="clear" w:fill="FFFFFF"/>
        </w:rPr>
        <w:t>，电话：0451-53</w:t>
      </w:r>
      <w:r>
        <w:rPr>
          <w:rFonts w:hint="eastAsia" w:ascii="仿宋_GB2312" w:hAnsi="仿宋_GB2312" w:eastAsia="仿宋_GB2312" w:cs="仿宋_GB2312"/>
          <w:i w:val="0"/>
          <w:iCs w:val="0"/>
          <w:caps w:val="0"/>
          <w:color w:val="auto"/>
          <w:spacing w:val="0"/>
          <w:sz w:val="32"/>
          <w:szCs w:val="32"/>
          <w:shd w:val="clear" w:fill="FFFFFF"/>
          <w:lang w:val="en-US" w:eastAsia="zh-CN"/>
        </w:rPr>
        <w:t>475540</w:t>
      </w:r>
      <w:r>
        <w:rPr>
          <w:rFonts w:hint="eastAsia" w:ascii="仿宋_GB2312" w:hAnsi="仿宋_GB2312" w:eastAsia="仿宋_GB2312" w:cs="仿宋_GB2312"/>
          <w:i w:val="0"/>
          <w:iCs w:val="0"/>
          <w:caps w:val="0"/>
          <w:color w:val="auto"/>
          <w:spacing w:val="0"/>
          <w:sz w:val="32"/>
          <w:szCs w:val="32"/>
          <w:shd w:val="clear" w:fill="FFFFFF"/>
        </w:rPr>
        <w:t>。</w:t>
      </w:r>
    </w:p>
    <w:p w14:paraId="03C10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14:paraId="06247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庆阳镇认真贯彻落实《中华人民共和国政府信息公开条例》，在市委、市政府的指导下，坚持应公开尽公开的原则，准确、透明发布政府信息，持续压实公开责任、加大保障力度，使政务公开工作透明度不断提高，与群众沟通更加畅通，有力地促进了各项工作的开展和政务公开工作的提质增效。</w:t>
      </w:r>
    </w:p>
    <w:p w14:paraId="1A17E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71450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庆阳镇始终坚持“真实公正、注重实效、利于监督”的原则，努力拓宽政务公开工作内容。公开的内容涉及机构职能、班子分工、政策法规、社会保障、社会救助、就业创业、政府决算等与人民群众切身利益密切相关的各类信息。</w:t>
      </w:r>
    </w:p>
    <w:p w14:paraId="520F8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p>
    <w:p w14:paraId="1899B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在依申请公开工作上，庆阳镇严格按照《中华人民共和国政府信息公开条例》规定的程序进行受理、审查、处理和答复。2024年，庆阳镇未收到依申请公开的内容。</w:t>
      </w:r>
    </w:p>
    <w:p w14:paraId="64BD0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55982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完善政府信息常态化管理机制，确保政务公开的严谨性和准确性，规范网站信息收集、审核、发布等工作流程，通过严格落实“三审”制度，对政务公开内容进行仔细检查，每条信息均做到严格审查、严格控制、严格把关，确保公开信息不涉密、无错别字、无错误词，确保发布信息的权威性、及时性、准确性和安全性，不断提高工作效率。</w:t>
      </w:r>
    </w:p>
    <w:p w14:paraId="19A3E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65CA5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严格落实《中华人民共和国政府信息公开条例》相关要求，紧扣全年政务公开工作要点，及时依据要求开展平台建设相关工作，进一步做好信息发布平台的日常与专项检查，及时更新网站信息，确保平台建设符合相关要求。</w:t>
      </w:r>
    </w:p>
    <w:p w14:paraId="2D2A5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0A3FA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严格落实政务公开工作的相关要求，加强对政务公开工作的监督和检查力度，坚持问题导向,层层落实责任，实时查漏补缺，及时梳理短板弱项，针对发现的问题，认真分析原因、提出整改措施，分类推进问题整改，确保问题得到及时有效的整改。</w:t>
      </w:r>
    </w:p>
    <w:p w14:paraId="458529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5"/>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3C4A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900" w:type="dxa"/>
            <w:gridSpan w:val="4"/>
            <w:tcBorders>
              <w:tl2br w:val="nil"/>
              <w:tr2bl w:val="nil"/>
            </w:tcBorders>
            <w:shd w:val="clear" w:color="auto" w:fill="99CCFF"/>
            <w:noWrap w:val="0"/>
            <w:vAlign w:val="center"/>
          </w:tcPr>
          <w:p w14:paraId="6C1EA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649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022BA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F4CA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本年</w:t>
            </w:r>
            <w:r>
              <w:rPr>
                <w:rStyle w:val="9"/>
                <w:rFonts w:eastAsia="宋体"/>
                <w:color w:val="auto"/>
                <w:lang w:val="en-US" w:eastAsia="zh-CN" w:bidi="ar"/>
              </w:rPr>
              <w:t>制</w:t>
            </w:r>
            <w:r>
              <w:rPr>
                <w:rStyle w:val="8"/>
                <w:color w:val="auto"/>
                <w:lang w:val="en-US" w:eastAsia="zh-CN" w:bidi="ar"/>
              </w:rPr>
              <w:t>发件</w:t>
            </w:r>
            <w:r>
              <w:rPr>
                <w:rStyle w:val="9"/>
                <w:rFonts w:eastAsia="宋体"/>
                <w:color w:val="auto"/>
                <w:lang w:val="en-US" w:eastAsia="zh-CN" w:bidi="ar"/>
              </w:rPr>
              <w:t>数</w:t>
            </w:r>
          </w:p>
        </w:tc>
        <w:tc>
          <w:tcPr>
            <w:tcW w:w="2375" w:type="dxa"/>
            <w:tcBorders>
              <w:tl2br w:val="nil"/>
              <w:tr2bl w:val="nil"/>
            </w:tcBorders>
            <w:noWrap w:val="0"/>
            <w:vAlign w:val="center"/>
          </w:tcPr>
          <w:p w14:paraId="5C401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58614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现行有效件</w:t>
            </w:r>
            <w:r>
              <w:rPr>
                <w:rStyle w:val="9"/>
                <w:rFonts w:eastAsia="宋体"/>
                <w:color w:val="auto"/>
                <w:lang w:val="en-US" w:eastAsia="zh-CN" w:bidi="ar"/>
              </w:rPr>
              <w:t>数</w:t>
            </w:r>
          </w:p>
        </w:tc>
      </w:tr>
      <w:tr w14:paraId="4284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3C7E87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19B565E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7C2ABC6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65FF0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0910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40C565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266112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5D7CFBE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DBA14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01A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7D4FF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580D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A878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6F40F8B3">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21DC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BEE8D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1A53B04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020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4A15AD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3D49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A258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D2AA0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5875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3DC9FE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282CBDF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958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43658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28FEE2C9">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7766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D97C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4F35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D848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E253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5CB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40C77D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45962302">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5CCB0391">
      <w:pPr>
        <w:numPr>
          <w:ilvl w:val="0"/>
          <w:numId w:val="0"/>
        </w:numPr>
        <w:spacing w:line="560" w:lineRule="exact"/>
        <w:ind w:left="630" w:leftChars="0"/>
        <w:rPr>
          <w:rFonts w:hint="eastAsia" w:ascii="黑体" w:hAnsi="黑体" w:eastAsia="黑体" w:cs="黑体"/>
          <w:color w:val="auto"/>
          <w:sz w:val="32"/>
          <w:szCs w:val="32"/>
          <w:lang w:val="en-US" w:eastAsia="zh-CN"/>
        </w:rPr>
      </w:pPr>
    </w:p>
    <w:p w14:paraId="0C7FE2F8">
      <w:pPr>
        <w:numPr>
          <w:ilvl w:val="0"/>
          <w:numId w:val="0"/>
        </w:numPr>
        <w:spacing w:line="560" w:lineRule="exact"/>
        <w:ind w:left="630" w:left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三、收到和处理政府信息公开申请情况</w:t>
      </w:r>
    </w:p>
    <w:tbl>
      <w:tblPr>
        <w:tblStyle w:val="5"/>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0D7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35ECF867">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4D60A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39D2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42558D6D">
            <w:pPr>
              <w:jc w:val="left"/>
              <w:rPr>
                <w:rFonts w:hint="eastAsia" w:ascii="楷体" w:hAnsi="楷体" w:eastAsia="楷体" w:cs="楷体"/>
                <w:i w:val="0"/>
                <w:iCs w:val="0"/>
                <w:color w:val="auto"/>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2AB61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30FF3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454D1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4EAA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9FCB7D7">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0AAC351D">
            <w:pPr>
              <w:jc w:val="center"/>
              <w:rPr>
                <w:rFonts w:hint="eastAsia" w:ascii="宋体" w:hAnsi="宋体" w:eastAsia="宋体" w:cs="宋体"/>
                <w:i w:val="0"/>
                <w:iCs w:val="0"/>
                <w:color w:val="auto"/>
                <w:sz w:val="20"/>
                <w:szCs w:val="20"/>
                <w:u w:val="none"/>
              </w:rPr>
            </w:pPr>
          </w:p>
        </w:tc>
        <w:tc>
          <w:tcPr>
            <w:tcW w:w="714" w:type="dxa"/>
            <w:tcBorders>
              <w:top w:val="nil"/>
              <w:left w:val="nil"/>
              <w:bottom w:val="nil"/>
              <w:right w:val="single" w:color="000000" w:sz="8" w:space="0"/>
            </w:tcBorders>
            <w:noWrap w:val="0"/>
            <w:vAlign w:val="center"/>
          </w:tcPr>
          <w:p w14:paraId="5630D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609D4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52AF9F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422B08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0A525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31069A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455A03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63D81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649A2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7D16EE79">
            <w:pPr>
              <w:jc w:val="center"/>
              <w:rPr>
                <w:rFonts w:hint="eastAsia" w:ascii="宋体" w:hAnsi="宋体" w:eastAsia="宋体" w:cs="宋体"/>
                <w:i w:val="0"/>
                <w:iCs w:val="0"/>
                <w:color w:val="auto"/>
                <w:sz w:val="20"/>
                <w:szCs w:val="20"/>
                <w:u w:val="none"/>
              </w:rPr>
            </w:pPr>
          </w:p>
        </w:tc>
      </w:tr>
      <w:tr w14:paraId="5366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99E7F51">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78C4BCAA">
            <w:pPr>
              <w:jc w:val="center"/>
              <w:rPr>
                <w:rFonts w:hint="eastAsia" w:ascii="宋体" w:hAnsi="宋体" w:eastAsia="宋体" w:cs="宋体"/>
                <w:i w:val="0"/>
                <w:iCs w:val="0"/>
                <w:color w:val="auto"/>
                <w:sz w:val="20"/>
                <w:szCs w:val="20"/>
                <w:u w:val="none"/>
              </w:rPr>
            </w:pPr>
          </w:p>
        </w:tc>
        <w:tc>
          <w:tcPr>
            <w:tcW w:w="714" w:type="dxa"/>
            <w:tcBorders>
              <w:top w:val="nil"/>
              <w:left w:val="nil"/>
              <w:bottom w:val="single" w:color="000000" w:sz="8" w:space="0"/>
              <w:right w:val="single" w:color="000000" w:sz="8" w:space="0"/>
            </w:tcBorders>
            <w:noWrap w:val="0"/>
            <w:vAlign w:val="center"/>
          </w:tcPr>
          <w:p w14:paraId="21F33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7E896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4BD6559D">
            <w:pPr>
              <w:jc w:val="center"/>
              <w:rPr>
                <w:rFonts w:hint="eastAsia" w:ascii="宋体" w:hAnsi="宋体" w:eastAsia="宋体" w:cs="宋体"/>
                <w:i w:val="0"/>
                <w:iCs w:val="0"/>
                <w:color w:val="auto"/>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418588FB">
            <w:pPr>
              <w:jc w:val="center"/>
              <w:rPr>
                <w:rFonts w:hint="eastAsia" w:ascii="宋体" w:hAnsi="宋体" w:eastAsia="宋体" w:cs="宋体"/>
                <w:i w:val="0"/>
                <w:iCs w:val="0"/>
                <w:color w:val="auto"/>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54640BC3">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513F548B">
            <w:pPr>
              <w:jc w:val="center"/>
              <w:rPr>
                <w:rFonts w:hint="eastAsia" w:ascii="宋体" w:hAnsi="宋体" w:eastAsia="宋体" w:cs="宋体"/>
                <w:i w:val="0"/>
                <w:iCs w:val="0"/>
                <w:color w:val="auto"/>
                <w:sz w:val="20"/>
                <w:szCs w:val="20"/>
                <w:u w:val="none"/>
              </w:rPr>
            </w:pPr>
          </w:p>
        </w:tc>
      </w:tr>
      <w:tr w14:paraId="029C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685FB5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0C02DA9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18E439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EC2D52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828F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2545A8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0EC5AC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C6C347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1FD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E7F9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6C54A68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FAD5D9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A5588F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620D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4C42B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A6B06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2110F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795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3C2C6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6E12D0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2DC73D5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2E53E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0EF6B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68869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291BE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B4328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32FE7D9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0E3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EFA6906">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00671A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221281B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19A7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B6B3D2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6894F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794F17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535CF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2B77F6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53D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10CBCB1">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3B5E5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top"/>
          </w:tcPr>
          <w:p w14:paraId="1553CF7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797F0C6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7E211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ACC2E1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D377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D656A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D62C9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CD49C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161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01B8F1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EDC0503">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D4BEDE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1DB59D3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D312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4FA4EE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01A53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90FE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AAFD1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F988D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C9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016AAC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7DD348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E1A94C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33A36A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D047C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FDC9F2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203A2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8F09E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5811F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B367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71B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6C004A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1AA64F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669D7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225BD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C9B80D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292AA6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5DA0E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7F38D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E45A5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907DC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55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B7FB55D">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D6E81B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AE0DB7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7661FC0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3AFDBD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DBC047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9A41F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9E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4635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60009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B6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CE94A3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BB624B">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40A162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74A9CBD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111D3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F972A7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A59F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D42B6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D1110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A6340BB">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A0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69808A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6C41DC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5FCBBC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73CE9D7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48C1D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46A476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965B36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6697F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551F9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BD3AF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803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8CD592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6D8B12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4CCFC8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01FD1AA0">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3F0FBD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98EAC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DE71E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C2C65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78769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41AE76">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CD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3DE37FA">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79AFEE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top"/>
          </w:tcPr>
          <w:p w14:paraId="7365323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6102928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E561C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F7ED6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88A7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468B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BDE1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DC1A2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069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743A97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8AD6F1C">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C9BD8E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5663B68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218884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63C1C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2370F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E310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17CCB6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08461EA">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8B1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1C0692C">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96A2AA2">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2629546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0827A7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2470E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196565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0EE0B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CBB45B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3EB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2FB2BA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8C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D2F211F">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606B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top"/>
          </w:tcPr>
          <w:p w14:paraId="545DA9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3FB4F5C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FF42A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4C37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2CC80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ACBAF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7FB0D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5459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95D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46BE49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D52B879">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012DAA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0F121B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7709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33BBD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07CE4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DA3623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E111F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5201D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DA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519C8A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1C92A31">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0BEA996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6D3FD22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ECFF9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1159C0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5D8AE0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18EFA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32D78D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E8D05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23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3E533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13EF15D">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CB6627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06D925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9629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83AA7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3B2CB8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0D56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B8D13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82FC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D8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FEE76B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28A04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3804F99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65344C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D07B9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4A93DE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4BB593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E9EEB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A931A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8B10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42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DB4A5B6">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51557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48AB2F5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398900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EF277C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D0893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1EB45D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D33065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3B515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6F92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A65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521707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7DA239F">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7188A56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23188F4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E581E1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C9260C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3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87166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93A7C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3DC857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9C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D26E9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7D04A1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6FE1DC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37890A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670D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5A2572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07305E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D165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6A7B3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7E574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95D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48A870A">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79ECA6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5F9DAB70">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B66F67B">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033E4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700A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237C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30E82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CD82CF">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898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111267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0E8B72C3">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D6D007A">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87828C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6F44A6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46F1292">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18CA5A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63F4C654">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027BA9DC">
      <w:pPr>
        <w:numPr>
          <w:ilvl w:val="0"/>
          <w:numId w:val="0"/>
        </w:numPr>
        <w:spacing w:line="560" w:lineRule="exact"/>
        <w:rPr>
          <w:rFonts w:hint="default" w:ascii="仿宋_GB2312" w:hAnsi="仿宋_GB2312" w:eastAsia="仿宋_GB2312" w:cs="仿宋_GB2312"/>
          <w:color w:val="auto"/>
          <w:sz w:val="32"/>
          <w:szCs w:val="32"/>
          <w:lang w:val="en-US" w:eastAsia="zh-CN"/>
        </w:rPr>
      </w:pPr>
    </w:p>
    <w:p w14:paraId="3BE43380">
      <w:pPr>
        <w:numPr>
          <w:ilvl w:val="0"/>
          <w:numId w:val="0"/>
        </w:numPr>
        <w:spacing w:line="560" w:lineRule="exact"/>
        <w:ind w:left="630" w:leftChars="0"/>
        <w:rPr>
          <w:rFonts w:hint="eastAsia" w:ascii="黑体" w:hAnsi="黑体" w:eastAsia="黑体" w:cs="黑体"/>
          <w:color w:val="auto"/>
          <w:sz w:val="32"/>
          <w:szCs w:val="32"/>
          <w:lang w:val="en-US" w:eastAsia="zh-CN"/>
        </w:rPr>
      </w:pPr>
    </w:p>
    <w:p w14:paraId="7E26A422">
      <w:pPr>
        <w:numPr>
          <w:ilvl w:val="0"/>
          <w:numId w:val="0"/>
        </w:numPr>
        <w:spacing w:line="560" w:lineRule="exact"/>
        <w:ind w:left="630" w:leftChars="0"/>
        <w:rPr>
          <w:rFonts w:hint="eastAsia" w:ascii="黑体" w:hAnsi="黑体" w:eastAsia="黑体" w:cs="黑体"/>
          <w:color w:val="auto"/>
          <w:sz w:val="32"/>
          <w:szCs w:val="32"/>
          <w:lang w:val="en-US" w:eastAsia="zh-CN"/>
        </w:rPr>
      </w:pPr>
    </w:p>
    <w:p w14:paraId="7F315FBD">
      <w:pPr>
        <w:numPr>
          <w:ilvl w:val="0"/>
          <w:numId w:val="0"/>
        </w:numPr>
        <w:spacing w:line="560" w:lineRule="exact"/>
        <w:ind w:left="630" w:leftChars="0"/>
        <w:rPr>
          <w:rFonts w:hint="eastAsia" w:ascii="黑体" w:hAnsi="黑体" w:eastAsia="黑体" w:cs="黑体"/>
          <w:color w:val="auto"/>
          <w:sz w:val="32"/>
          <w:szCs w:val="32"/>
          <w:lang w:val="en-US" w:eastAsia="zh-CN"/>
        </w:rPr>
      </w:pPr>
    </w:p>
    <w:p w14:paraId="06903B38">
      <w:pPr>
        <w:numPr>
          <w:ilvl w:val="0"/>
          <w:numId w:val="0"/>
        </w:numPr>
        <w:spacing w:line="560" w:lineRule="exact"/>
        <w:ind w:left="630" w:leftChars="0"/>
        <w:rPr>
          <w:rFonts w:hint="eastAsia" w:ascii="黑体" w:hAnsi="黑体" w:eastAsia="黑体" w:cs="黑体"/>
          <w:color w:val="auto"/>
          <w:sz w:val="32"/>
          <w:szCs w:val="32"/>
          <w:lang w:val="en-US" w:eastAsia="zh-CN"/>
        </w:rPr>
      </w:pPr>
    </w:p>
    <w:p w14:paraId="362BE821">
      <w:pPr>
        <w:numPr>
          <w:ilvl w:val="0"/>
          <w:numId w:val="0"/>
        </w:numPr>
        <w:spacing w:line="560" w:lineRule="exact"/>
        <w:ind w:left="630" w:leftChars="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政府信息公开行政复议、行政诉讼情况</w:t>
      </w:r>
    </w:p>
    <w:tbl>
      <w:tblPr>
        <w:tblStyle w:val="5"/>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5B78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056F3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0193D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12D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3512F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EBA20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5B0FF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1C450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230DCA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647C8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A916B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48400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75F9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6F12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7E356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AD6DB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77D7E4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5B5A4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8B78E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37305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5832E9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6551AD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1A468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7AC8F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7A02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9C98CD">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99D35E">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695A59">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0D75E7">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54AEE3">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2A2F18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CAA76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E8FEF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24476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5126157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06FFFA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E3D78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60E456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06E324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38FA0B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7E80144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7AB8C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44DCD9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29AB3C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1A3BEA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5F4BD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1CDF30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A6BF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6BC9D8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FCE94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11571D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40005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478037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87CE9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52D67E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4420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5A43EE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A4B94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3A5617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A5A8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0AAD13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F8ED3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0DF235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0ED6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5BDCC8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1B0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256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39660AA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0C29CA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F4526F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514A0AC6">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099E64D">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2A725E4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1A06F8C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3013AA1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648A400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12C77ED6">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38CF9C0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59FC9F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5714089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4E3AAC1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144D9BD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1AFC349C">
      <w:pPr>
        <w:numPr>
          <w:ilvl w:val="0"/>
          <w:numId w:val="0"/>
        </w:numPr>
        <w:spacing w:line="560" w:lineRule="exact"/>
        <w:ind w:left="640" w:leftChars="0"/>
        <w:rPr>
          <w:rFonts w:hint="eastAsia" w:ascii="仿宋_GB2312" w:hAnsi="仿宋_GB2312" w:eastAsia="仿宋_GB2312" w:cs="仿宋_GB2312"/>
          <w:color w:val="auto"/>
          <w:sz w:val="32"/>
          <w:szCs w:val="32"/>
        </w:rPr>
      </w:pPr>
    </w:p>
    <w:p w14:paraId="48838C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存在的主要问题及改进情况</w:t>
      </w:r>
    </w:p>
    <w:p w14:paraId="4E13F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54DB8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庆阳镇政府信息公开工作虽然取得了一定成效，但依然存在一定差距，主要存在以下问题：一是随着信息技术的快速发展和公众需求的不断变化，政务公开工作的难度和复杂度不断增加；二是存在工作方法不够灵活，工作方式缺乏创新的情况。</w:t>
      </w:r>
    </w:p>
    <w:p w14:paraId="08240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5238F642">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1.完善政府信息公开内容。</w:t>
      </w:r>
      <w:r>
        <w:rPr>
          <w:rFonts w:hint="eastAsia" w:ascii="仿宋_GB2312" w:hAnsi="仿宋_GB2312" w:eastAsia="仿宋_GB2312" w:cs="仿宋_GB2312"/>
          <w:b w:val="0"/>
          <w:bCs w:val="0"/>
          <w:color w:val="000000"/>
          <w:kern w:val="0"/>
          <w:sz w:val="32"/>
          <w:szCs w:val="32"/>
          <w:lang w:val="en-US" w:eastAsia="zh-CN"/>
        </w:rPr>
        <w:t>准确把握新时代政务公开新形势、新要求，按照“公开为原则，不公开为例外”的总体要求，加大对公开内容的检查，进一步丰富和完善主动公开的目录和内容，对涉及公众关心的重大问题、重大决策做到及时公开，提高公开的针对性和实效性，更好发挥以公开促落实、优服务、强监管。</w:t>
      </w:r>
    </w:p>
    <w:p w14:paraId="08DBF3CF">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2.强化学习培训，创新工作途径。</w:t>
      </w:r>
      <w:r>
        <w:rPr>
          <w:rFonts w:hint="eastAsia" w:ascii="仿宋_GB2312" w:hAnsi="仿宋_GB2312" w:eastAsia="仿宋_GB2312" w:cs="仿宋_GB2312"/>
          <w:b w:val="0"/>
          <w:bCs w:val="0"/>
          <w:color w:val="000000"/>
          <w:kern w:val="0"/>
          <w:sz w:val="32"/>
          <w:szCs w:val="32"/>
          <w:lang w:val="en-US" w:eastAsia="zh-CN"/>
        </w:rPr>
        <w:t>加强对政府信息公开工作的学习和培训力度，重点学习《中华人民共和国政府信息公开条例》等有关政务公开的法律、法规和政策，通过组织培训和工作例会等方式，加强交流，不断提升工作人员的业务能力和专业素养。丰富政务公开信息的内容，讲求实效，突出重点，创新形式，深入推进庆阳镇政务公开工作。</w:t>
      </w:r>
    </w:p>
    <w:p w14:paraId="54248693">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7C346E4B">
      <w:pPr>
        <w:spacing w:line="600" w:lineRule="exact"/>
        <w:ind w:firstLine="640" w:firstLineChars="200"/>
        <w:rPr>
          <w:rFonts w:hint="eastAsia" w:ascii="仿宋_GB2312" w:hAnsi="仿宋_GB2312" w:eastAsia="仿宋_GB2312" w:cs="仿宋_GB2312"/>
          <w:color w:val="0D0509"/>
          <w:kern w:val="0"/>
          <w:sz w:val="32"/>
          <w:szCs w:val="32"/>
          <w:shd w:val="clear" w:color="auto" w:fill="auto"/>
          <w:lang w:bidi="ar"/>
        </w:rPr>
      </w:pPr>
      <w:r>
        <w:rPr>
          <w:rFonts w:hint="eastAsia" w:ascii="仿宋_GB2312" w:hAnsi="仿宋_GB2312" w:eastAsia="仿宋_GB2312" w:cs="仿宋_GB2312"/>
          <w:color w:val="0D0509"/>
          <w:kern w:val="0"/>
          <w:sz w:val="32"/>
          <w:szCs w:val="32"/>
          <w:shd w:val="clear" w:color="auto" w:fill="auto"/>
          <w:lang w:val="en-US" w:eastAsia="zh-CN" w:bidi="ar"/>
        </w:rPr>
        <w:t>庆阳镇</w:t>
      </w:r>
      <w:r>
        <w:rPr>
          <w:rFonts w:hint="eastAsia" w:ascii="仿宋_GB2312" w:hAnsi="仿宋_GB2312" w:eastAsia="仿宋_GB2312" w:cs="仿宋_GB2312"/>
          <w:color w:val="0D0509"/>
          <w:kern w:val="0"/>
          <w:sz w:val="32"/>
          <w:szCs w:val="32"/>
          <w:shd w:val="clear" w:color="auto" w:fill="auto"/>
          <w:lang w:bidi="ar"/>
        </w:rPr>
        <w:t>无涉及《政府信息公开信息处理费管理办法》中规定的收取信息处理费情况。</w:t>
      </w:r>
    </w:p>
    <w:p w14:paraId="75E88076">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94CA7"/>
    <w:rsid w:val="041F1DB1"/>
    <w:rsid w:val="0620235A"/>
    <w:rsid w:val="0B19267A"/>
    <w:rsid w:val="0E883461"/>
    <w:rsid w:val="13CF3698"/>
    <w:rsid w:val="16717FF1"/>
    <w:rsid w:val="19175895"/>
    <w:rsid w:val="1962142A"/>
    <w:rsid w:val="1A48226C"/>
    <w:rsid w:val="1A975003"/>
    <w:rsid w:val="2A1338E2"/>
    <w:rsid w:val="2F6F1AD9"/>
    <w:rsid w:val="34683749"/>
    <w:rsid w:val="359A53D6"/>
    <w:rsid w:val="36756277"/>
    <w:rsid w:val="37AC2FA6"/>
    <w:rsid w:val="3ED600F7"/>
    <w:rsid w:val="41C21F3C"/>
    <w:rsid w:val="48E21116"/>
    <w:rsid w:val="49B374ED"/>
    <w:rsid w:val="49F1432A"/>
    <w:rsid w:val="4FB6391F"/>
    <w:rsid w:val="53D31D87"/>
    <w:rsid w:val="59CB42C9"/>
    <w:rsid w:val="5AF716FF"/>
    <w:rsid w:val="5ED2069E"/>
    <w:rsid w:val="641F4B74"/>
    <w:rsid w:val="68790CF7"/>
    <w:rsid w:val="69194288"/>
    <w:rsid w:val="7DFC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jc w:val="center"/>
      <w:outlineLvl w:val="0"/>
    </w:pPr>
    <w:rPr>
      <w:rFonts w:ascii="Arial" w:hAnsi="Arial"/>
      <w:b/>
      <w:bCs/>
      <w:szCs w:val="32"/>
    </w:rPr>
  </w:style>
  <w:style w:type="character" w:styleId="7">
    <w:name w:val="Hyperlink"/>
    <w:basedOn w:val="6"/>
    <w:qFormat/>
    <w:uiPriority w:val="0"/>
    <w:rPr>
      <w:color w:val="0000FF"/>
      <w:u w:val="single"/>
    </w:rPr>
  </w:style>
  <w:style w:type="character" w:customStyle="1" w:styleId="8">
    <w:name w:val="font0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1585</Words>
  <Characters>1705</Characters>
  <Lines>0</Lines>
  <Paragraphs>0</Paragraphs>
  <TotalTime>20</TotalTime>
  <ScaleCrop>false</ScaleCrop>
  <LinksUpToDate>false</LinksUpToDate>
  <CharactersWithSpaces>1707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2024-12-19T06:53:00Z</dcterms:created>
  <dc:creator>Administrator</dc:creator>
  <cp:lastModifiedBy>Administrator</cp:lastModifiedBy>
  <dcterms:modified xsi:type="dcterms:W3CDTF">2025-01-03T07:32:01Z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E7A37CD0A1C54D7E9BE5600876E2F82B_12</vt:lpwstr>
  </property>
  <property fmtid="{D5CDD505-2E9C-101B-9397-08002B2CF9AE}" pid="4" name="KSOTemplateDocerSaveRecord">
    <vt:lpwstr>eyJoZGlkIjoiMDIyYTRkZDE2MGM1MTU1ODQzZGJkM2FjZGQyZmNkYjcifQ==</vt:lpwstr>
  </property>
</Properties>
</file>