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7909A">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尚志市应急管理局政府信息主动公开</w:t>
      </w:r>
    </w:p>
    <w:p w14:paraId="333B70DC">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基本目录</w:t>
      </w:r>
    </w:p>
    <w:p w14:paraId="1CBD620B">
      <w:pPr>
        <w:rPr>
          <w:rFonts w:hint="eastAsia" w:ascii="黑体" w:hAnsi="黑体" w:eastAsia="黑体" w:cs="黑体"/>
          <w:sz w:val="32"/>
          <w:szCs w:val="32"/>
        </w:rPr>
      </w:pPr>
    </w:p>
    <w:p w14:paraId="1B4F3054">
      <w:pPr>
        <w:rPr>
          <w:rFonts w:hint="eastAsia" w:ascii="黑体" w:hAnsi="黑体" w:eastAsia="黑体" w:cs="黑体"/>
          <w:sz w:val="32"/>
          <w:szCs w:val="32"/>
        </w:rPr>
      </w:pPr>
      <w:r>
        <w:rPr>
          <w:rFonts w:hint="eastAsia" w:ascii="黑体" w:hAnsi="黑体" w:eastAsia="黑体" w:cs="黑体"/>
          <w:sz w:val="32"/>
          <w:szCs w:val="32"/>
        </w:rPr>
        <w:t>第一部分概述</w:t>
      </w:r>
    </w:p>
    <w:p w14:paraId="6375568B">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一、公开依据</w:t>
      </w:r>
    </w:p>
    <w:p w14:paraId="6F6741B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1.《中华人民共和国政府信息公开条例》</w:t>
      </w:r>
    </w:p>
    <w:p w14:paraId="5F86E6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2.《中共中央办公厅国务院办公厅关于做好新时代政务公开工作的意见》(中办发〔2024]18号)</w:t>
      </w:r>
    </w:p>
    <w:p w14:paraId="6319E2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3.《中共黑龙江省委办公厅黑龙江省人民政府办公厅关于做好新时代政务公开工作的实施意见》(黑办发〔2024]6号)</w:t>
      </w:r>
    </w:p>
    <w:p w14:paraId="34E2049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二、公开主体、时限、方式、监督渠道</w:t>
      </w:r>
    </w:p>
    <w:p w14:paraId="24C9E2F1">
      <w:p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公开主体:</w:t>
      </w:r>
      <w:r>
        <w:rPr>
          <w:rFonts w:hint="eastAsia" w:ascii="仿宋_GB2312" w:hAnsi="仿宋_GB2312" w:eastAsia="仿宋_GB2312" w:cs="仿宋_GB2312"/>
          <w:sz w:val="32"/>
          <w:szCs w:val="32"/>
          <w:lang w:val="en-US" w:eastAsia="zh-CN"/>
        </w:rPr>
        <w:t>尚志市应急管理局</w:t>
      </w:r>
    </w:p>
    <w:p w14:paraId="362ED733">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公开时限:</w:t>
      </w:r>
      <w:r>
        <w:rPr>
          <w:rFonts w:hint="eastAsia" w:ascii="仿宋_GB2312" w:hAnsi="仿宋_GB2312" w:eastAsia="仿宋_GB2312" w:cs="仿宋_GB2312"/>
          <w:sz w:val="32"/>
          <w:szCs w:val="32"/>
        </w:rPr>
        <w:t>政府信息形成或变更之日起20个工作日内(法律法规对政府信息的公开时限另有规定的从其规定)</w:t>
      </w:r>
    </w:p>
    <w:p w14:paraId="0A5B1130">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公开方式:</w:t>
      </w:r>
      <w:r>
        <w:rPr>
          <w:rFonts w:hint="eastAsia" w:ascii="仿宋_GB2312" w:hAnsi="仿宋_GB2312" w:eastAsia="仿宋_GB2312" w:cs="仿宋_GB2312"/>
          <w:sz w:val="32"/>
          <w:szCs w:val="32"/>
        </w:rPr>
        <w:t>网站(http://www.shangzhi.gov.cn//)</w:t>
      </w:r>
    </w:p>
    <w:p w14:paraId="5C6EF2DB">
      <w:pPr>
        <w:ind w:firstLine="640" w:firstLineChars="200"/>
        <w:rPr>
          <w:rFonts w:hint="eastAsia" w:ascii="宋体" w:hAnsi="宋体" w:eastAsia="宋体" w:cs="宋体"/>
          <w:i w:val="0"/>
          <w:iCs w:val="0"/>
          <w:caps w:val="0"/>
          <w:color w:val="333333"/>
          <w:spacing w:val="0"/>
          <w:sz w:val="24"/>
          <w:szCs w:val="24"/>
          <w:shd w:val="clear" w:fill="FFFFFF"/>
        </w:rPr>
      </w:pPr>
      <w:r>
        <w:rPr>
          <w:rFonts w:hint="eastAsia" w:ascii="楷体_GB2312" w:hAnsi="楷体_GB2312" w:eastAsia="楷体_GB2312" w:cs="楷体_GB2312"/>
          <w:sz w:val="32"/>
          <w:szCs w:val="32"/>
        </w:rPr>
        <w:t>监督渠道:</w:t>
      </w:r>
      <w:r>
        <w:rPr>
          <w:rFonts w:hint="eastAsia" w:ascii="仿宋_GB2312" w:hAnsi="仿宋_GB2312" w:eastAsia="仿宋_GB2312" w:cs="仿宋_GB2312"/>
          <w:sz w:val="32"/>
          <w:szCs w:val="32"/>
        </w:rPr>
        <w:t>电话监督(0451-</w:t>
      </w:r>
      <w:r>
        <w:rPr>
          <w:rFonts w:hint="eastAsia" w:ascii="仿宋_GB2312" w:hAnsi="仿宋_GB2312" w:eastAsia="仿宋_GB2312" w:cs="仿宋_GB2312"/>
          <w:sz w:val="32"/>
          <w:szCs w:val="32"/>
          <w:lang w:val="en-US" w:eastAsia="zh-CN"/>
        </w:rPr>
        <w:t>53350026</w:t>
      </w:r>
      <w:r>
        <w:rPr>
          <w:rFonts w:hint="eastAsia" w:ascii="仿宋_GB2312" w:hAnsi="仿宋_GB2312" w:eastAsia="仿宋_GB2312" w:cs="仿宋_GB2312"/>
          <w:sz w:val="32"/>
          <w:szCs w:val="32"/>
        </w:rPr>
        <w:t>)</w:t>
      </w:r>
      <w:r>
        <w:rPr>
          <w:rFonts w:hint="eastAsia" w:ascii="宋体" w:hAnsi="宋体" w:eastAsia="宋体" w:cs="宋体"/>
          <w:i w:val="0"/>
          <w:iCs w:val="0"/>
          <w:caps w:val="0"/>
          <w:color w:val="333333"/>
          <w:spacing w:val="0"/>
          <w:sz w:val="24"/>
          <w:szCs w:val="24"/>
          <w:shd w:val="clear" w:fill="FFFFFF"/>
        </w:rPr>
        <w:t>。</w:t>
      </w:r>
    </w:p>
    <w:p w14:paraId="0FACAF7D">
      <w:pPr>
        <w:ind w:firstLine="480" w:firstLineChars="200"/>
        <w:rPr>
          <w:rFonts w:hint="eastAsia" w:ascii="宋体" w:hAnsi="宋体" w:eastAsia="宋体" w:cs="宋体"/>
          <w:i w:val="0"/>
          <w:iCs w:val="0"/>
          <w:caps w:val="0"/>
          <w:color w:val="333333"/>
          <w:spacing w:val="0"/>
          <w:sz w:val="24"/>
          <w:szCs w:val="24"/>
          <w:shd w:val="clear" w:fill="FFFFFF"/>
        </w:rPr>
      </w:pPr>
    </w:p>
    <w:p w14:paraId="487A2922">
      <w:pPr>
        <w:ind w:firstLine="480" w:firstLineChars="200"/>
        <w:rPr>
          <w:rFonts w:hint="eastAsia" w:ascii="宋体" w:hAnsi="宋体" w:eastAsia="宋体" w:cs="宋体"/>
          <w:i w:val="0"/>
          <w:iCs w:val="0"/>
          <w:caps w:val="0"/>
          <w:color w:val="333333"/>
          <w:spacing w:val="0"/>
          <w:sz w:val="24"/>
          <w:szCs w:val="24"/>
          <w:shd w:val="clear" w:fill="FFFFFF"/>
        </w:rPr>
      </w:pPr>
    </w:p>
    <w:p w14:paraId="3B8D656E">
      <w:pPr>
        <w:ind w:firstLine="480" w:firstLineChars="200"/>
        <w:rPr>
          <w:rFonts w:hint="eastAsia" w:ascii="宋体" w:hAnsi="宋体" w:eastAsia="宋体" w:cs="宋体"/>
          <w:i w:val="0"/>
          <w:iCs w:val="0"/>
          <w:caps w:val="0"/>
          <w:color w:val="333333"/>
          <w:spacing w:val="0"/>
          <w:sz w:val="24"/>
          <w:szCs w:val="24"/>
          <w:shd w:val="clear" w:fill="FFFFFF"/>
        </w:rPr>
      </w:pPr>
    </w:p>
    <w:p w14:paraId="6FFB4C50">
      <w:pPr>
        <w:ind w:firstLine="480" w:firstLineChars="200"/>
        <w:rPr>
          <w:rFonts w:hint="eastAsia" w:ascii="宋体" w:hAnsi="宋体" w:eastAsia="宋体" w:cs="宋体"/>
          <w:i w:val="0"/>
          <w:iCs w:val="0"/>
          <w:caps w:val="0"/>
          <w:color w:val="333333"/>
          <w:spacing w:val="0"/>
          <w:sz w:val="24"/>
          <w:szCs w:val="24"/>
          <w:shd w:val="clear" w:fill="FFFFFF"/>
        </w:rPr>
      </w:pPr>
    </w:p>
    <w:p w14:paraId="439C0E9C">
      <w:pPr>
        <w:ind w:firstLine="480" w:firstLineChars="200"/>
        <w:rPr>
          <w:rFonts w:hint="eastAsia" w:ascii="宋体" w:hAnsi="宋体" w:eastAsia="宋体" w:cs="宋体"/>
          <w:i w:val="0"/>
          <w:iCs w:val="0"/>
          <w:caps w:val="0"/>
          <w:color w:val="333333"/>
          <w:spacing w:val="0"/>
          <w:sz w:val="24"/>
          <w:szCs w:val="24"/>
          <w:shd w:val="clear" w:fill="FFFFFF"/>
        </w:rPr>
      </w:pPr>
    </w:p>
    <w:p w14:paraId="6BE024FE">
      <w:pPr>
        <w:ind w:firstLine="480" w:firstLineChars="200"/>
        <w:rPr>
          <w:rFonts w:hint="eastAsia" w:ascii="宋体" w:hAnsi="宋体" w:eastAsia="宋体" w:cs="宋体"/>
          <w:i w:val="0"/>
          <w:iCs w:val="0"/>
          <w:caps w:val="0"/>
          <w:color w:val="333333"/>
          <w:spacing w:val="0"/>
          <w:sz w:val="24"/>
          <w:szCs w:val="24"/>
          <w:shd w:val="clear" w:fill="FFFFFF"/>
        </w:rPr>
      </w:pPr>
    </w:p>
    <w:p w14:paraId="406A1302">
      <w:pPr>
        <w:ind w:firstLine="480" w:firstLineChars="200"/>
        <w:rPr>
          <w:rFonts w:hint="eastAsia" w:ascii="宋体" w:hAnsi="宋体" w:eastAsia="宋体" w:cs="宋体"/>
          <w:i w:val="0"/>
          <w:iCs w:val="0"/>
          <w:caps w:val="0"/>
          <w:color w:val="333333"/>
          <w:spacing w:val="0"/>
          <w:sz w:val="24"/>
          <w:szCs w:val="24"/>
          <w:shd w:val="clear" w:fill="FFFFFF"/>
        </w:rPr>
      </w:pPr>
    </w:p>
    <w:p w14:paraId="3B0522F1">
      <w:pPr>
        <w:ind w:firstLine="480" w:firstLineChars="200"/>
        <w:rPr>
          <w:rFonts w:hint="eastAsia" w:ascii="宋体" w:hAnsi="宋体" w:eastAsia="宋体" w:cs="宋体"/>
          <w:i w:val="0"/>
          <w:iCs w:val="0"/>
          <w:caps w:val="0"/>
          <w:color w:val="333333"/>
          <w:spacing w:val="0"/>
          <w:sz w:val="24"/>
          <w:szCs w:val="24"/>
          <w:shd w:val="clear" w:fill="FFFFFF"/>
        </w:rPr>
      </w:pPr>
    </w:p>
    <w:p w14:paraId="164D2C32">
      <w:pPr>
        <w:ind w:firstLine="480" w:firstLineChars="200"/>
        <w:rPr>
          <w:rFonts w:hint="eastAsia" w:ascii="宋体" w:hAnsi="宋体" w:eastAsia="宋体" w:cs="宋体"/>
          <w:i w:val="0"/>
          <w:iCs w:val="0"/>
          <w:caps w:val="0"/>
          <w:color w:val="333333"/>
          <w:spacing w:val="0"/>
          <w:sz w:val="24"/>
          <w:szCs w:val="24"/>
          <w:shd w:val="clear" w:fill="FFFFFF"/>
        </w:rPr>
      </w:pPr>
    </w:p>
    <w:tbl>
      <w:tblPr>
        <w:tblStyle w:val="2"/>
        <w:tblW w:w="9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1519"/>
        <w:gridCol w:w="1590"/>
        <w:gridCol w:w="3744"/>
        <w:gridCol w:w="1311"/>
      </w:tblGrid>
      <w:tr w14:paraId="4F90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159" w:type="dxa"/>
            <w:gridSpan w:val="5"/>
            <w:tcBorders>
              <w:top w:val="nil"/>
              <w:left w:val="nil"/>
              <w:bottom w:val="nil"/>
              <w:right w:val="nil"/>
            </w:tcBorders>
            <w:shd w:val="clear" w:color="auto" w:fill="auto"/>
            <w:noWrap/>
            <w:vAlign w:val="center"/>
          </w:tcPr>
          <w:p w14:paraId="423589D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第二部分主动公开基本目录</w:t>
            </w:r>
          </w:p>
        </w:tc>
      </w:tr>
      <w:tr w14:paraId="1CFE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92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526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公开类别及事项</w:t>
            </w:r>
          </w:p>
        </w:tc>
        <w:tc>
          <w:tcPr>
            <w:tcW w:w="3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AF3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326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责任处室</w:t>
            </w:r>
          </w:p>
        </w:tc>
      </w:tr>
      <w:tr w14:paraId="645E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2EA7">
            <w:pPr>
              <w:jc w:val="center"/>
              <w:rPr>
                <w:rFonts w:hint="eastAsia" w:ascii="宋体" w:hAnsi="宋体" w:eastAsia="宋体" w:cs="宋体"/>
                <w:b/>
                <w:bCs/>
                <w:i w:val="0"/>
                <w:iCs w:val="0"/>
                <w:color w:val="000000"/>
                <w:sz w:val="22"/>
                <w:szCs w:val="22"/>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A3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p>
        </w:tc>
        <w:tc>
          <w:tcPr>
            <w:tcW w:w="3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18EB0">
            <w:pPr>
              <w:jc w:val="center"/>
              <w:rPr>
                <w:rFonts w:hint="eastAsia" w:ascii="宋体" w:hAnsi="宋体" w:eastAsia="宋体" w:cs="宋体"/>
                <w:b/>
                <w:bCs/>
                <w:i w:val="0"/>
                <w:iCs w:val="0"/>
                <w:color w:val="000000"/>
                <w:sz w:val="22"/>
                <w:szCs w:val="22"/>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F9D67">
            <w:pPr>
              <w:jc w:val="center"/>
              <w:rPr>
                <w:rFonts w:hint="eastAsia" w:ascii="宋体" w:hAnsi="宋体" w:eastAsia="宋体" w:cs="宋体"/>
                <w:b/>
                <w:bCs/>
                <w:i w:val="0"/>
                <w:iCs w:val="0"/>
                <w:color w:val="000000"/>
                <w:sz w:val="22"/>
                <w:szCs w:val="22"/>
                <w:u w:val="none"/>
              </w:rPr>
            </w:pPr>
          </w:p>
        </w:tc>
      </w:tr>
      <w:tr w14:paraId="2D7A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69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519" w:type="dxa"/>
            <w:vMerge w:val="restart"/>
            <w:tcBorders>
              <w:top w:val="single" w:color="000000" w:sz="4" w:space="0"/>
              <w:left w:val="single" w:color="000000" w:sz="4" w:space="0"/>
              <w:right w:val="single" w:color="000000" w:sz="4" w:space="0"/>
            </w:tcBorders>
            <w:shd w:val="clear" w:color="auto" w:fill="auto"/>
            <w:vAlign w:val="center"/>
          </w:tcPr>
          <w:p w14:paraId="0D8307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一、机构职能</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76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内设机构</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E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办公室、法制股、减灾股、危化股、工矿股、协调股</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5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57F1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5" w:type="dxa"/>
            <w:tcBorders>
              <w:top w:val="single" w:color="000000" w:sz="4" w:space="0"/>
              <w:left w:val="single" w:color="000000" w:sz="4" w:space="0"/>
              <w:right w:val="single" w:color="000000" w:sz="4" w:space="0"/>
            </w:tcBorders>
            <w:shd w:val="clear" w:color="auto" w:fill="auto"/>
            <w:noWrap/>
            <w:vAlign w:val="center"/>
          </w:tcPr>
          <w:p w14:paraId="269A4B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519" w:type="dxa"/>
            <w:vMerge w:val="continue"/>
            <w:tcBorders>
              <w:left w:val="single" w:color="000000" w:sz="4" w:space="0"/>
              <w:right w:val="single" w:color="000000" w:sz="4" w:space="0"/>
            </w:tcBorders>
            <w:shd w:val="clear" w:color="auto" w:fill="auto"/>
            <w:vAlign w:val="center"/>
          </w:tcPr>
          <w:p w14:paraId="43315172">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72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主要职责</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8CF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防灾减灾、应急救援、安全生产综合协调、防汛抗旱、森林草原防灭火、工矿商贸及危险化学品安全监督管理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E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办公室尚志市应急救援指挥中心（尚志市综合应急救援队）、尚志市应急管理综合行政执法大队</w:t>
            </w:r>
          </w:p>
        </w:tc>
      </w:tr>
      <w:tr w14:paraId="139C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A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98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二、领导信息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30F">
            <w:pPr>
              <w:jc w:val="center"/>
              <w:rPr>
                <w:rFonts w:hint="eastAsia" w:ascii="宋体" w:hAnsi="宋体" w:eastAsia="宋体" w:cs="宋体"/>
                <w:b/>
                <w:bCs/>
                <w:i w:val="0"/>
                <w:iCs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1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领导简介、分管工作等</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B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局党办</w:t>
            </w:r>
          </w:p>
        </w:tc>
      </w:tr>
      <w:tr w14:paraId="49C0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89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CB4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三、政府信息公开 相关信息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96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政府信息公开相关规定</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0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相关制度文件</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决策草案起草股室</w:t>
            </w:r>
          </w:p>
        </w:tc>
      </w:tr>
      <w:tr w14:paraId="32B0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8C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96C36">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5E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政府信息公开年度报告</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B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政府信息公开工作年度报告内容</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3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3F0A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66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CFA56">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A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其他政策文件</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C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其他可以公开的与应急管理有关的政策文件，包括改革方案、计划规划、行政规范性文件等</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A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相关文件制发股室</w:t>
            </w:r>
          </w:p>
        </w:tc>
      </w:tr>
      <w:tr w14:paraId="6AEA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45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A1B75">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15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文件清理结果</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C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定期对文件进行清理的结果信息</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8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法制股</w:t>
            </w:r>
          </w:p>
        </w:tc>
      </w:tr>
      <w:tr w14:paraId="76D6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7D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824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四、决策公开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AA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重大决策草案</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C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涉及管理相对人切身利益、需社会广泛知晓的重要改革方案等重大决策，决策前向社会公开公布决策草案、决策依据等</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5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决策草案起草股室</w:t>
            </w:r>
          </w:p>
        </w:tc>
      </w:tr>
      <w:tr w14:paraId="0B39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96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2EA8F">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4B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重大政策文件及解读</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53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有关重大政策等的发布及其解读，相关热点问题的解读与回应</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1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有关政策制发股室</w:t>
            </w:r>
          </w:p>
        </w:tc>
      </w:tr>
      <w:tr w14:paraId="18E2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F2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7F8A6">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E7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重要会议</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7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以会议讨论作出重要改革方案等重大决策时，经党组研究认为有必要公开讨论决策过程的会议</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731A">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局党办</w:t>
            </w:r>
          </w:p>
        </w:tc>
      </w:tr>
      <w:tr w14:paraId="0DAF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0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519" w:type="dxa"/>
            <w:tcBorders>
              <w:top w:val="nil"/>
              <w:left w:val="single" w:color="000000" w:sz="4" w:space="0"/>
              <w:bottom w:val="single" w:color="000000" w:sz="4" w:space="0"/>
              <w:right w:val="single" w:color="000000" w:sz="4" w:space="0"/>
            </w:tcBorders>
            <w:shd w:val="clear" w:color="auto" w:fill="auto"/>
            <w:vAlign w:val="center"/>
          </w:tcPr>
          <w:p w14:paraId="4B9CBE75">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AD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督查和审计发现问题及整改落实情况</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8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督查和审计发现的问题及整改落实情况，以及相关问责情况</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1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被督查和审计股室</w:t>
            </w:r>
          </w:p>
        </w:tc>
      </w:tr>
      <w:tr w14:paraId="37EB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C0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C94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六、管理公开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2F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行政许可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E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办理行政许可事项的目录、指南、依据、条件、程序、结果</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8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法制股</w:t>
            </w:r>
          </w:p>
        </w:tc>
      </w:tr>
      <w:tr w14:paraId="281A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93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194BB">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ED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行政处罚、行政强制</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7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实施行政处罚、行政强制的依据、条件、程序以及本行政机关认为具有一定社会影响的行政处罚决定</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D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执法大队、工矿股、危化股</w:t>
            </w:r>
          </w:p>
        </w:tc>
      </w:tr>
      <w:tr w14:paraId="6AA7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EA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55228">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2C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安全生产监督检查情况</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8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公开安全生产常规检查、突击检查、随机抽查等情况，以及挂牌督办、相关约谈情况等信息</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0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执法大队、工矿股、危化股、法制股、协调股</w:t>
            </w:r>
          </w:p>
        </w:tc>
      </w:tr>
      <w:tr w14:paraId="3AF6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CC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50061">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88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监测、预警、提示信息及应对情况</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气象、地震及灾害等预报预警信息及风险监测信息；不同时段、不同领域的安全生产、防灾减灾救灾、应急救援提示及防范应对信息</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D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指挥中心、减灾股</w:t>
            </w:r>
          </w:p>
        </w:tc>
      </w:tr>
      <w:tr w14:paraId="7899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D9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7727F">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B8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办事纪律和监督管理</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D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受理投诉、举报、信访的途径等内容</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1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r>
      <w:tr w14:paraId="3C84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72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C4A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八、结果公开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EB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政府集中采购信息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9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政府集中采购项目实施情况</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7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办公室及相关业务股室</w:t>
            </w:r>
          </w:p>
        </w:tc>
      </w:tr>
      <w:tr w14:paraId="0CE9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8D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9E640">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19E4">
            <w:pPr>
              <w:keepNext w:val="0"/>
              <w:keepLines w:val="0"/>
              <w:widowControl/>
              <w:suppressLineNumbers w:val="0"/>
              <w:spacing w:after="22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“双随机、一公开”情况</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E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随机抽查的查处情况和处置结果</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4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法制股</w:t>
            </w:r>
          </w:p>
        </w:tc>
      </w:tr>
      <w:tr w14:paraId="7192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46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9F1BA">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BDFF">
            <w:pPr>
              <w:keepNext w:val="0"/>
              <w:keepLines w:val="0"/>
              <w:widowControl/>
              <w:suppressLineNumbers w:val="0"/>
              <w:spacing w:after="22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贯彻落实中央决策部署情况</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3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贯彻落实中央决策部署的实施方案、措施、工作成效等</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1E6A">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相关业务股室</w:t>
            </w:r>
          </w:p>
        </w:tc>
      </w:tr>
      <w:tr w14:paraId="6B66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33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83D05">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F402">
            <w:pPr>
              <w:keepNext w:val="0"/>
              <w:keepLines w:val="0"/>
              <w:widowControl/>
              <w:suppressLineNumbers w:val="0"/>
              <w:spacing w:after="22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人大建议、政协提案办理情况</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8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办理的总体情况、本单位主办的人大建议复函、本单位主办的政协提案复函</w:t>
            </w:r>
            <w:bookmarkStart w:id="0" w:name="_GoBack"/>
            <w:bookmarkEnd w:id="0"/>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1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办公室及相关业务股室</w:t>
            </w:r>
          </w:p>
        </w:tc>
      </w:tr>
      <w:tr w14:paraId="38CB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A3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450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九、重点领域信息公开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6E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科技信息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4D01">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相关科技政策、科研项目立项情况等</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5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指挥中心</w:t>
            </w:r>
          </w:p>
        </w:tc>
      </w:tr>
      <w:tr w14:paraId="0E08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09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A5BE">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09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财政资金信息等</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0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根据财政部要求公开部预算、决算、“三公”经费等情况；其他需要主动公开的财政信息</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F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财务室</w:t>
            </w:r>
          </w:p>
        </w:tc>
      </w:tr>
      <w:tr w14:paraId="529D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DF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6C07">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2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典型事故信息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4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本部门接报的事故通报；典型事故查处挂牌督办信息</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6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相关业务股室</w:t>
            </w:r>
          </w:p>
        </w:tc>
      </w:tr>
      <w:tr w14:paraId="722B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E6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7DE27">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21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重大森林草原火灾信息</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E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重大森林草原火灾挂牌督办情况通报、特别重大森林草原火灾调查评估报告</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B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森防办</w:t>
            </w:r>
          </w:p>
        </w:tc>
      </w:tr>
      <w:tr w14:paraId="6289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C0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55FDC">
            <w:pPr>
              <w:jc w:val="center"/>
              <w:rPr>
                <w:rFonts w:hint="eastAsia" w:ascii="宋体" w:hAnsi="宋体" w:eastAsia="宋体" w:cs="宋体"/>
                <w:b/>
                <w:bCs/>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C172">
            <w:pPr>
              <w:keepNext w:val="0"/>
              <w:keepLines w:val="0"/>
              <w:widowControl/>
              <w:suppressLineNumbers w:val="0"/>
              <w:spacing w:after="22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“黑名单”管理</w:t>
            </w:r>
          </w:p>
        </w:tc>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1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纳入或移出安全生产领域失信联合惩戒“黑名单”管理企业的信息</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7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相关执法股室</w:t>
            </w:r>
          </w:p>
        </w:tc>
      </w:tr>
    </w:tbl>
    <w:p w14:paraId="6CCCC345">
      <w:pPr>
        <w:ind w:firstLine="480" w:firstLineChars="200"/>
        <w:rPr>
          <w:rFonts w:hint="eastAsia" w:ascii="宋体" w:hAnsi="宋体" w:eastAsia="宋体" w:cs="宋体"/>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138AC4-31BF-4256-90AF-15D8FE0243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3A06DAAB-4BB0-4EEF-822E-EA0B91950186}"/>
  </w:font>
  <w:font w:name="仿宋_GB2312">
    <w:panose1 w:val="02010609030101010101"/>
    <w:charset w:val="86"/>
    <w:family w:val="auto"/>
    <w:pitch w:val="default"/>
    <w:sig w:usb0="00000001" w:usb1="080E0000" w:usb2="00000000" w:usb3="00000000" w:csb0="00040000" w:csb1="00000000"/>
    <w:embedRegular r:id="rId3" w:fontKey="{7E5FAE0E-E082-487B-AA06-99ADC95749A6}"/>
  </w:font>
  <w:font w:name="楷体_GB2312">
    <w:panose1 w:val="02010609030101010101"/>
    <w:charset w:val="86"/>
    <w:family w:val="auto"/>
    <w:pitch w:val="default"/>
    <w:sig w:usb0="00000001" w:usb1="080E0000" w:usb2="00000000" w:usb3="00000000" w:csb0="00040000" w:csb1="00000000"/>
    <w:embedRegular r:id="rId4" w:fontKey="{190863BD-F1BF-4E9C-B292-B03D9E5D97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jViOGMyNGFiOTdiOTQ5NmU4YzQxODY2MDkwZTkifQ=="/>
  </w:docVars>
  <w:rsids>
    <w:rsidRoot w:val="00000000"/>
    <w:rsid w:val="06A1024F"/>
    <w:rsid w:val="0B68761F"/>
    <w:rsid w:val="15663882"/>
    <w:rsid w:val="2B6F32B8"/>
    <w:rsid w:val="2E32183C"/>
    <w:rsid w:val="3CE047D9"/>
    <w:rsid w:val="521D68C4"/>
    <w:rsid w:val="713F4AC4"/>
    <w:rsid w:val="7A803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1448</Words>
  <Characters>1522</Characters>
  <Lines>0</Lines>
  <Paragraphs>0</Paragraphs>
  <TotalTime>3</TotalTime>
  <ScaleCrop>false</ScaleCrop>
  <LinksUpToDate>false</LinksUpToDate>
  <CharactersWithSpaces>1538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2024-07-29T01:29:00Z</dcterms:created>
  <dc:creator>ThinkCentre</dc:creator>
  <cp:lastModifiedBy>李昊</cp:lastModifiedBy>
  <dcterms:modified xsi:type="dcterms:W3CDTF">2024-08-19T06:23:13Z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57FDEBD06FDD4040B9F25BC44D197AC9_12</vt:lpwstr>
  </property>
</Properties>
</file>