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尚志市财政投资评审管理办法实施细则（试行）</w:t>
      </w:r>
    </w:p>
    <w:p>
      <w:pPr>
        <w:pStyle w:val="8"/>
        <w:spacing w:before="0" w:beforeAutospacing="0" w:after="0" w:afterAutospacing="0" w:line="560" w:lineRule="exact"/>
        <w:jc w:val="center"/>
        <w:rPr>
          <w:rFonts w:ascii="方正小标宋简体" w:eastAsia="方正小标宋简体"/>
          <w:color w:val="000000"/>
          <w:sz w:val="44"/>
          <w:szCs w:val="44"/>
        </w:rPr>
      </w:pPr>
    </w:p>
    <w:p>
      <w:pPr>
        <w:pStyle w:val="8"/>
        <w:widowControl w:val="0"/>
        <w:spacing w:before="579" w:beforeLines="100" w:beforeAutospacing="0" w:after="579" w:afterLines="100" w:afterAutospacing="0" w:line="560" w:lineRule="exact"/>
        <w:jc w:val="center"/>
        <w:rPr>
          <w:rFonts w:hint="eastAsia" w:ascii="黑体" w:hAnsi="黑体" w:eastAsia="黑体"/>
          <w:bCs/>
          <w:color w:val="000000"/>
          <w:kern w:val="2"/>
          <w:sz w:val="32"/>
          <w:szCs w:val="32"/>
        </w:rPr>
      </w:pPr>
      <w:r>
        <w:rPr>
          <w:rFonts w:hint="eastAsia" w:ascii="黑体" w:hAnsi="黑体" w:eastAsia="黑体"/>
          <w:bCs/>
          <w:color w:val="000000"/>
          <w:kern w:val="2"/>
          <w:sz w:val="32"/>
          <w:szCs w:val="32"/>
        </w:rPr>
        <w:t>第一章  总  则</w:t>
      </w:r>
    </w:p>
    <w:p>
      <w:pPr>
        <w:pStyle w:val="8"/>
        <w:widowControl w:val="0"/>
        <w:spacing w:before="0" w:beforeAutospacing="0" w:after="0" w:afterAutospacing="0" w:line="560" w:lineRule="exact"/>
        <w:ind w:firstLine="632" w:firstLineChars="200"/>
        <w:jc w:val="both"/>
        <w:rPr>
          <w:rFonts w:ascii="仿宋_GB2312" w:eastAsia="仿宋_GB2312"/>
          <w:color w:val="000000"/>
          <w:sz w:val="32"/>
          <w:szCs w:val="32"/>
        </w:rPr>
      </w:pPr>
      <w:r>
        <w:rPr>
          <w:rFonts w:hint="eastAsia" w:ascii="黑体" w:hAnsi="黑体" w:eastAsia="黑体"/>
          <w:color w:val="000000"/>
          <w:sz w:val="32"/>
          <w:szCs w:val="32"/>
        </w:rPr>
        <w:t>第一条</w:t>
      </w:r>
      <w:r>
        <w:rPr>
          <w:rFonts w:hint="eastAsia" w:ascii="仿宋_GB2312" w:eastAsia="仿宋_GB2312"/>
          <w:color w:val="000000"/>
          <w:sz w:val="32"/>
          <w:szCs w:val="32"/>
        </w:rPr>
        <w:t xml:space="preserve">  为加强财政投资评审管理，规范财政投资评审行为，提高</w:t>
      </w:r>
      <w:r>
        <w:rPr>
          <w:rFonts w:ascii="仿宋_GB2312" w:eastAsia="仿宋_GB2312"/>
          <w:color w:val="000000"/>
          <w:sz w:val="32"/>
          <w:szCs w:val="32"/>
        </w:rPr>
        <w:t>财政资金使用</w:t>
      </w:r>
      <w:r>
        <w:rPr>
          <w:rFonts w:hint="eastAsia" w:ascii="仿宋_GB2312" w:eastAsia="仿宋_GB2312"/>
          <w:color w:val="000000"/>
          <w:sz w:val="32"/>
          <w:szCs w:val="32"/>
        </w:rPr>
        <w:t>绩</w:t>
      </w:r>
      <w:r>
        <w:rPr>
          <w:rFonts w:ascii="仿宋_GB2312" w:eastAsia="仿宋_GB2312"/>
          <w:color w:val="000000"/>
          <w:sz w:val="32"/>
          <w:szCs w:val="32"/>
        </w:rPr>
        <w:t>效，</w:t>
      </w:r>
      <w:r>
        <w:rPr>
          <w:rFonts w:hint="eastAsia" w:ascii="仿宋_GB2312" w:eastAsia="仿宋_GB2312"/>
          <w:color w:val="000000"/>
          <w:sz w:val="32"/>
          <w:szCs w:val="32"/>
        </w:rPr>
        <w:t>根据《黑龙江省</w:t>
      </w:r>
      <w:r>
        <w:rPr>
          <w:rFonts w:ascii="仿宋_GB2312" w:eastAsia="仿宋_GB2312"/>
          <w:color w:val="000000"/>
          <w:sz w:val="32"/>
          <w:szCs w:val="32"/>
        </w:rPr>
        <w:t>财政投资评审管理办法</w:t>
      </w:r>
      <w:r>
        <w:rPr>
          <w:rFonts w:hint="eastAsia" w:ascii="仿宋_GB2312" w:eastAsia="仿宋_GB2312"/>
          <w:color w:val="000000"/>
          <w:sz w:val="32"/>
          <w:szCs w:val="32"/>
        </w:rPr>
        <w:t>》《尚志市财政投资评审管理办法》等相关法律、法规和</w:t>
      </w:r>
      <w:r>
        <w:rPr>
          <w:rFonts w:ascii="仿宋_GB2312" w:eastAsia="仿宋_GB2312"/>
          <w:color w:val="000000"/>
          <w:sz w:val="32"/>
          <w:szCs w:val="32"/>
        </w:rPr>
        <w:t>制度</w:t>
      </w:r>
      <w:r>
        <w:rPr>
          <w:rFonts w:hint="eastAsia" w:ascii="仿宋_GB2312" w:eastAsia="仿宋_GB2312"/>
          <w:color w:val="000000"/>
          <w:sz w:val="32"/>
          <w:szCs w:val="32"/>
        </w:rPr>
        <w:t>规定，结合</w:t>
      </w:r>
      <w:r>
        <w:rPr>
          <w:rFonts w:ascii="仿宋_GB2312" w:eastAsia="仿宋_GB2312"/>
          <w:color w:val="000000"/>
          <w:sz w:val="32"/>
          <w:szCs w:val="32"/>
        </w:rPr>
        <w:t>我</w:t>
      </w:r>
      <w:r>
        <w:rPr>
          <w:rFonts w:hint="eastAsia" w:ascii="仿宋_GB2312" w:eastAsia="仿宋_GB2312"/>
          <w:color w:val="000000"/>
          <w:sz w:val="32"/>
          <w:szCs w:val="32"/>
        </w:rPr>
        <w:t>市</w:t>
      </w:r>
      <w:r>
        <w:rPr>
          <w:rFonts w:ascii="仿宋_GB2312" w:eastAsia="仿宋_GB2312"/>
          <w:color w:val="000000"/>
          <w:sz w:val="32"/>
          <w:szCs w:val="32"/>
        </w:rPr>
        <w:t>实际</w:t>
      </w:r>
      <w:r>
        <w:rPr>
          <w:rFonts w:hint="eastAsia" w:ascii="仿宋_GB2312" w:eastAsia="仿宋_GB2312"/>
          <w:color w:val="000000"/>
          <w:sz w:val="32"/>
          <w:szCs w:val="32"/>
        </w:rPr>
        <w:t>，制定本实施细则。</w:t>
      </w:r>
    </w:p>
    <w:p>
      <w:pPr>
        <w:ind w:firstLine="632" w:firstLineChars="200"/>
        <w:rPr>
          <w:rFonts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本实施细则适用于我市</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万元以上政府投资工程。</w:t>
      </w:r>
      <w:r>
        <w:rPr>
          <w:rFonts w:hint="eastAsia" w:ascii="仿宋_GB2312" w:hAnsi="仿宋_GB2312" w:cs="仿宋_GB2312"/>
          <w:color w:val="000000"/>
          <w:sz w:val="32"/>
          <w:szCs w:val="32"/>
          <w:lang w:val="en-US" w:eastAsia="zh-CN"/>
        </w:rPr>
        <w:t>50</w:t>
      </w:r>
      <w:r>
        <w:rPr>
          <w:rFonts w:hint="eastAsia" w:ascii="仿宋_GB2312" w:hAnsi="仿宋_GB2312" w:eastAsia="仿宋_GB2312" w:cs="仿宋_GB2312"/>
          <w:color w:val="000000"/>
          <w:sz w:val="32"/>
          <w:szCs w:val="32"/>
        </w:rPr>
        <w:t>万元以下（含</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0万元）维修改造类项目，建设单位可依据相关法规及内控制度，</w:t>
      </w:r>
      <w:r>
        <w:rPr>
          <w:rFonts w:hint="eastAsia" w:ascii="仿宋_GB2312" w:hAnsi="仿宋_GB2312" w:eastAsia="仿宋_GB2312" w:cs="仿宋_GB2312"/>
          <w:color w:val="000000"/>
          <w:sz w:val="32"/>
          <w:szCs w:val="32"/>
          <w:lang w:val="en-US" w:eastAsia="zh-CN"/>
        </w:rPr>
        <w:t>实施相应的采购模式，</w:t>
      </w:r>
      <w:r>
        <w:rPr>
          <w:rFonts w:hint="eastAsia" w:ascii="仿宋_GB2312" w:hAnsi="仿宋_GB2312" w:eastAsia="仿宋_GB2312" w:cs="仿宋_GB2312"/>
          <w:color w:val="000000"/>
          <w:sz w:val="32"/>
          <w:szCs w:val="32"/>
        </w:rPr>
        <w:t>严格把控支出管理。</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评审机构在开展财政投资项目评审时，应当遵循合法性、公正性、客观性的原则，并对评审结论负责。</w:t>
      </w:r>
    </w:p>
    <w:p>
      <w:pPr>
        <w:pStyle w:val="8"/>
        <w:widowControl w:val="0"/>
        <w:spacing w:before="0" w:beforeAutospacing="0" w:after="0" w:afterAutospacing="0" w:line="560" w:lineRule="exact"/>
        <w:ind w:firstLine="632" w:firstLineChars="200"/>
        <w:jc w:val="both"/>
        <w:rPr>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对拒不配合或阻挠财政投资评审工作的部门或项目建设单位，市财政局可根据实际情况暂缓下达项目财政性资金预算或暂停拨付财政性资金。</w:t>
      </w:r>
    </w:p>
    <w:p>
      <w:pPr>
        <w:pStyle w:val="8"/>
        <w:widowControl w:val="0"/>
        <w:spacing w:before="579" w:beforeLines="100" w:beforeAutospacing="0" w:after="579" w:afterLines="100" w:afterAutospacing="0" w:line="560" w:lineRule="exact"/>
        <w:jc w:val="center"/>
        <w:rPr>
          <w:rFonts w:hint="eastAsia" w:ascii="黑体" w:hAnsi="黑体" w:eastAsia="黑体"/>
          <w:bCs/>
          <w:color w:val="000000"/>
          <w:sz w:val="32"/>
          <w:szCs w:val="32"/>
        </w:rPr>
      </w:pPr>
      <w:r>
        <w:rPr>
          <w:rFonts w:hint="eastAsia" w:ascii="黑体" w:hAnsi="黑体" w:eastAsia="黑体"/>
          <w:bCs/>
          <w:color w:val="000000"/>
          <w:sz w:val="32"/>
          <w:szCs w:val="32"/>
        </w:rPr>
        <w:t>第二章  项目评审依据及流程</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bCs/>
          <w:color w:val="000000"/>
          <w:sz w:val="32"/>
          <w:szCs w:val="32"/>
        </w:rPr>
      </w:pPr>
      <w:r>
        <w:rPr>
          <w:rFonts w:hint="eastAsia" w:ascii="黑体" w:hAnsi="黑体" w:eastAsia="黑体" w:cs="仿宋_GB2312"/>
          <w:bCs/>
          <w:color w:val="000000"/>
          <w:sz w:val="32"/>
          <w:szCs w:val="32"/>
        </w:rPr>
        <w:t>第五条</w:t>
      </w:r>
      <w:r>
        <w:rPr>
          <w:rFonts w:hint="eastAsia" w:ascii="仿宋_GB2312" w:hAnsi="仿宋_GB2312" w:eastAsia="仿宋_GB2312" w:cs="仿宋_GB2312"/>
          <w:bCs/>
          <w:color w:val="000000"/>
          <w:sz w:val="32"/>
          <w:szCs w:val="32"/>
        </w:rPr>
        <w:t xml:space="preserve">  项目评审依据</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（一）国家有关财政预算、财政投资评审、经济合同和工程建设的法律、法规及规章制度等与工程项目相关的规定；</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（二）国家主管部门及地方有关部门颁布的标准、清单计价规范、定额和工程技术规范等；</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（三）与工程有关的市场价格信息、同类项目的造价及其他有关的市场信息；</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（四）项目可行性研究报告、立项、初步设计概算批复等批准文件，项目设计、招投标、施工合同、施工资料等文件；</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（五）项目评审所需的其他前置要件。</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color w:val="000000"/>
          <w:sz w:val="32"/>
          <w:szCs w:val="32"/>
        </w:rPr>
      </w:pPr>
      <w:r>
        <w:rPr>
          <w:rFonts w:hint="eastAsia" w:ascii="黑体" w:hAnsi="黑体" w:eastAsia="黑体" w:cs="仿宋_GB2312"/>
          <w:bCs/>
          <w:color w:val="000000"/>
          <w:sz w:val="32"/>
          <w:szCs w:val="32"/>
        </w:rPr>
        <w:t>第六条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项目预算（招标控制价）评审的流程</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（一）在评审准备阶段，其主要工作内容有：</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1.项目建设单位或主管部门向市政府提出项目评审申请。申请报告必须说明项目名称、主要建设内容、项目预算（招标控制价）额度、拟建设时间、建设资金来源（需说明建设资金性质,是否为上级专项或地方财力，专项需提供专项资金文件）。</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2.市财政投资评审中心（以下简称评审中心）受理后，一次性告知项目单位或主管部门按“评审项目资料清单及承诺”（见附件1）送审所需资料。</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 xml:space="preserve">3.评审中心一次性收齐送审资料，了解被评审项目的基本情况，收集和整理必要的评审依据，判定项目是否具备评审条件并在2个工作日内给予回复；如送审资料不能满足评审条件，通知项目单位按要求及时补充完善资料，并在5个工作日内再次送审。 </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4.对确因特殊情况不能在规定时间内送审补充资料的项目，项目单位应在送审期限截止前2个工作日内书面说明情况，申请延期报送并明确最终送审时间。</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5.如遇紧急项目，建设单位或主管部门需向市政府提出项目紧急评审申请，经市政府领导批准后，填报《紧急项目预算（招标控制价）送审报告》（附件2），并由项目单位法定代表人签字确认，同时建设单位要组织采集项目实施前相关数据及影像资料存档。评审中心将对该项目进行加急评审。</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（二）在评审实施阶段，其主要工作内容有；</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1.评审中心要确定项目编号，拟定评审内容、评审重点、评审方法和评审时间。</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2.根据项目建设内容，确定评审机构。</w:t>
      </w:r>
    </w:p>
    <w:p>
      <w:pPr>
        <w:pStyle w:val="8"/>
        <w:widowControl w:val="0"/>
        <w:spacing w:before="0" w:beforeAutospacing="0" w:after="0" w:afterAutospacing="0" w:line="560" w:lineRule="exact"/>
        <w:ind w:firstLine="632" w:firstLineChars="200"/>
        <w:jc w:val="both"/>
        <w:rPr>
          <w:rFonts w:hint="eastAsia" w:ascii="仿宋_GB2312" w:hAnsi="楷体" w:eastAsia="仿宋_GB2312" w:cs="楷体"/>
          <w:color w:val="000000"/>
          <w:sz w:val="32"/>
          <w:szCs w:val="32"/>
        </w:rPr>
      </w:pPr>
      <w:r>
        <w:rPr>
          <w:rFonts w:hint="eastAsia" w:ascii="仿宋_GB2312" w:eastAsia="仿宋_GB2312"/>
          <w:color w:val="000000"/>
          <w:sz w:val="32"/>
          <w:szCs w:val="32"/>
        </w:rPr>
        <w:t>3.如需进行现场踏查的，由评审中心确定踏查时间，组织相关人员进行现场踏查（</w:t>
      </w:r>
      <w:r>
        <w:rPr>
          <w:rFonts w:hint="eastAsia" w:ascii="仿宋_GB2312" w:hAnsi="楷体" w:eastAsia="仿宋_GB2312" w:cs="楷体"/>
          <w:color w:val="000000"/>
          <w:sz w:val="32"/>
          <w:szCs w:val="32"/>
        </w:rPr>
        <w:t>现场踏查应查看项目是否属实，核对项目申报评审内容、图纸与现场情况是否相符，对特殊重点内容进行拍照、录像、录音等）。</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4.在评审过程中应及时与项目建设单位进行沟通，重要事项应进行书面取证。</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5.评审机构按照规定的格式和内容形成初审意见。</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6.评审中心对初审意见进行复核并形成初审结果。</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（三）在交换意见阶段，其主要工作内容有：</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1.项目建设单位或主管部门在接到评审中心的初审结果后，如对初审结果有异议，应按照不同专业逐条以书面形式提出调整意见及依据，同时提供电子版文件，并携带相关佐证资料，在3-5个工作日内到评审中心交换意见。</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2.评审中心充分听取并收集项目单位或主管部门意见并组织评审机构对初审结果进行调整及书面解释，形成初审结论。项目建设单位或主管部门在接到评审结论5个工作日内于项目“项目评审定案表”（见附件</w:t>
      </w:r>
      <w:r>
        <w:rPr>
          <w:rFonts w:ascii="仿宋_GB2312" w:eastAsia="仿宋_GB2312"/>
          <w:color w:val="000000"/>
          <w:sz w:val="32"/>
          <w:szCs w:val="32"/>
        </w:rPr>
        <w:t>4</w:t>
      </w:r>
      <w:r>
        <w:rPr>
          <w:rFonts w:hint="eastAsia" w:ascii="仿宋_GB2312" w:eastAsia="仿宋_GB2312"/>
          <w:color w:val="000000"/>
          <w:sz w:val="32"/>
          <w:szCs w:val="32"/>
        </w:rPr>
        <w:t>）上签署意见。</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3.如果项目单位或主管部门在接到初审结论5个工作日未反馈意见的，则视同同意初审结论。</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4.项目单位或主管部门对项目预算（招标控制价）初审结论确认后，由评审中心整理项目情况向</w:t>
      </w:r>
      <w:r>
        <w:rPr>
          <w:rFonts w:hint="eastAsia" w:ascii="仿宋_GB2312" w:eastAsia="仿宋_GB2312"/>
          <w:color w:val="000000"/>
          <w:sz w:val="32"/>
          <w:szCs w:val="32"/>
          <w:lang w:val="en-US" w:eastAsia="zh-CN"/>
        </w:rPr>
        <w:t>领导</w:t>
      </w:r>
      <w:r>
        <w:rPr>
          <w:rFonts w:hint="eastAsia" w:ascii="仿宋_GB2312" w:eastAsia="仿宋_GB2312"/>
          <w:color w:val="000000"/>
          <w:sz w:val="32"/>
          <w:szCs w:val="32"/>
        </w:rPr>
        <w:t>汇报。</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（四）在评审完成阶段，其主要工作内容有：</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1.根据初审结论和各方面意见确定项目最终</w:t>
      </w:r>
      <w:r>
        <w:rPr>
          <w:rFonts w:hint="eastAsia" w:ascii="仿宋_GB2312" w:eastAsia="仿宋_GB2312"/>
          <w:color w:val="000000"/>
          <w:sz w:val="32"/>
          <w:szCs w:val="32"/>
        </w:rPr>
        <w:t>评审结论。</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2.评审机构出具的项目预算（招标控制价）审核报告一式五套，需项目建设单位或主管部门加盖公章，法定代表人或项目负责人要签字，评审中心、评审机构各存档一套，项目建设单位或主管部门领取三套。</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3.评审中心出具评审报告一式二份，评审中心存档一份，项目建设单位或主管部门领取一份。</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4.评审中心及时整理评审工作底稿、附件，核对取证记录和有关资料，将完整的项目评审资料与项目建设单位或主管部门意见资料登记归档。</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上述评审工作实施阶段的工作任务，原则上单项工程预算（招标控制价）评审应在5-10个工作日完成；项目投资额较大、子项目较多、项目情况复杂的预算（招标控制价）评审应在10-15个工作日完成（</w:t>
      </w:r>
      <w:r>
        <w:rPr>
          <w:rFonts w:hint="eastAsia" w:ascii="仿宋_GB2312" w:hAnsi="楷体_GB2312" w:eastAsia="仿宋_GB2312" w:cs="楷体_GB2312"/>
          <w:color w:val="000000"/>
          <w:sz w:val="32"/>
          <w:szCs w:val="32"/>
        </w:rPr>
        <w:t>以上工作时限不含项目建设单位或主管部门补充资料的时间</w:t>
      </w:r>
      <w:r>
        <w:rPr>
          <w:rFonts w:hint="eastAsia" w:ascii="仿宋_GB2312" w:eastAsia="仿宋_GB2312"/>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黑体" w:hAnsi="黑体" w:eastAsia="黑体"/>
          <w:color w:val="000000"/>
          <w:sz w:val="32"/>
          <w:szCs w:val="32"/>
        </w:rPr>
        <w:t>第七条</w:t>
      </w:r>
      <w:r>
        <w:rPr>
          <w:rFonts w:hint="eastAsia" w:ascii="仿宋_GB2312" w:eastAsia="仿宋_GB2312"/>
          <w:color w:val="000000"/>
          <w:sz w:val="32"/>
          <w:szCs w:val="32"/>
        </w:rPr>
        <w:t xml:space="preserve">  项目结算评审流程</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（一）项目结算的工作流程与预算（招标控制价）基本相同。</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（二）结算评审实施阶段，需要各方共同进行现场踏查，确认现场实际完成情况与竣工图一致；对竣工结算与预算施工内容、投资金额偏差原因进行比对、分析。</w:t>
      </w:r>
    </w:p>
    <w:p>
      <w:pPr>
        <w:spacing w:line="560" w:lineRule="exact"/>
        <w:ind w:firstLine="632"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（三）项目结算评审交换意见阶段，</w:t>
      </w:r>
      <w:r>
        <w:rPr>
          <w:rFonts w:hint="eastAsia" w:ascii="仿宋_GB2312" w:eastAsia="仿宋_GB2312"/>
          <w:color w:val="000000"/>
          <w:sz w:val="32"/>
          <w:szCs w:val="32"/>
        </w:rPr>
        <w:t>评审中心只与项目建设单位或主管部门交换意见。如果出现必须由施工单位说明情况的问题，应由项目建设单位负责人召集施工单位代表同时参与交换意见工作。</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（四）经多次交换意见达不成一致的项目，评审中心将项目情况整理报送市政府请示意见。</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eastAsia="仿宋_GB2312"/>
          <w:color w:val="000000"/>
          <w:sz w:val="32"/>
          <w:szCs w:val="32"/>
        </w:rPr>
        <w:t>评审机构出具的项目结算审核报告一式六套，需项目建设单位或主管部门加盖公章，法定代表人或项目负责人要签字，评审中心、评审机构各存档一套，项目建设单位或主管部门领取四套。</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（六）评审中心出具评审报告一式二份，评审中心存档一份，项目建设单位或主管部门领取一份。</w:t>
      </w:r>
    </w:p>
    <w:p>
      <w:pPr>
        <w:pStyle w:val="8"/>
        <w:widowControl w:val="0"/>
        <w:spacing w:before="0" w:beforeAutospacing="0" w:after="0" w:afterAutospacing="0" w:line="560" w:lineRule="exact"/>
        <w:ind w:firstLine="632" w:firstLineChars="200"/>
        <w:jc w:val="both"/>
        <w:rPr>
          <w:rFonts w:hint="eastAsia" w:ascii="仿宋_GB2312" w:hAnsi="楷体" w:eastAsia="仿宋_GB2312" w:cs="楷体"/>
          <w:color w:val="000000"/>
          <w:sz w:val="32"/>
          <w:szCs w:val="32"/>
        </w:rPr>
      </w:pPr>
      <w:r>
        <w:rPr>
          <w:rFonts w:hint="eastAsia" w:ascii="仿宋_GB2312" w:hAnsi="仿宋_GB2312" w:eastAsia="仿宋_GB2312" w:cs="仿宋_GB2312"/>
          <w:color w:val="000000"/>
          <w:sz w:val="32"/>
          <w:szCs w:val="32"/>
        </w:rPr>
        <w:t>（七）项目工程结算单项工程评审工作依据</w:t>
      </w:r>
      <w:r>
        <w:rPr>
          <w:rFonts w:hint="eastAsia" w:ascii="仿宋_GB2312" w:hAnsi="仿宋" w:eastAsia="仿宋_GB2312" w:cs="仿宋"/>
          <w:color w:val="000000"/>
          <w:sz w:val="32"/>
          <w:szCs w:val="32"/>
        </w:rPr>
        <w:t>《黑龙江省财政投资评审管理办法》第十二条第六款</w:t>
      </w:r>
      <w:r>
        <w:rPr>
          <w:rFonts w:hint="eastAsia" w:ascii="仿宋_GB2312" w:hAnsi="楷体" w:eastAsia="仿宋_GB2312" w:cs="楷体"/>
          <w:color w:val="000000"/>
          <w:sz w:val="32"/>
          <w:szCs w:val="32"/>
        </w:rPr>
        <w:t>，</w:t>
      </w:r>
      <w:r>
        <w:rPr>
          <w:rFonts w:hint="eastAsia" w:ascii="仿宋_GB2312" w:hAnsi="仿宋_GB2312" w:eastAsia="仿宋_GB2312" w:cs="仿宋_GB2312"/>
          <w:color w:val="000000"/>
          <w:sz w:val="32"/>
          <w:szCs w:val="32"/>
        </w:rPr>
        <w:t>应在15-30个工作日完成。在严格控制补报资料及交换意见时限的基础上，特大型项目及特殊情况可根据实际适当延长，最长不超过30天</w:t>
      </w:r>
      <w:r>
        <w:rPr>
          <w:rFonts w:hint="eastAsia" w:ascii="仿宋_GB2312" w:hAnsi="楷体" w:eastAsia="仿宋_GB2312" w:cs="楷体"/>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hAnsi="仿宋" w:eastAsia="仿宋_GB2312" w:cs="仿宋"/>
          <w:color w:val="000000"/>
          <w:sz w:val="32"/>
          <w:szCs w:val="32"/>
        </w:rPr>
        <w:t>（八）</w:t>
      </w:r>
      <w:r>
        <w:rPr>
          <w:rFonts w:hint="eastAsia" w:ascii="仿宋_GB2312" w:hAnsi="仿宋_GB2312" w:eastAsia="仿宋_GB2312" w:cs="仿宋_GB2312"/>
          <w:color w:val="000000"/>
          <w:sz w:val="32"/>
          <w:szCs w:val="32"/>
        </w:rPr>
        <w:t>其他财政投资项目，本着及时有效原则，根据工作实际和相关规定，科学合理地确定评审工作时限。</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rPr>
        <w:t xml:space="preserve">  项目实施过程中跟踪评审流程</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（一）项目实施过程中如遇重大变更或发生不可预见性支出，建设单位需及时向评审中心报备。</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（二）评审中心组织评审机构、建设单位共同进行现场踏查，共同收集隐蔽工程照片以及相关资料，作为结算审核的依据。</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（三）重大、特殊、复杂项目，经市领导签批进行跟踪评审。</w:t>
      </w:r>
    </w:p>
    <w:p>
      <w:pPr>
        <w:pStyle w:val="8"/>
        <w:widowControl w:val="0"/>
        <w:spacing w:before="579" w:beforeLines="100" w:beforeAutospacing="0" w:after="579" w:afterLines="100" w:afterAutospacing="0" w:line="560" w:lineRule="exact"/>
        <w:jc w:val="center"/>
        <w:rPr>
          <w:rFonts w:hint="eastAsia" w:ascii="黑体" w:hAnsi="黑体" w:eastAsia="黑体"/>
          <w:color w:val="000000"/>
          <w:sz w:val="32"/>
          <w:szCs w:val="32"/>
        </w:rPr>
      </w:pPr>
      <w:r>
        <w:rPr>
          <w:rFonts w:hint="eastAsia" w:ascii="黑体" w:hAnsi="黑体" w:eastAsia="黑体" w:cs="黑体"/>
          <w:color w:val="000000"/>
          <w:sz w:val="32"/>
          <w:szCs w:val="32"/>
        </w:rPr>
        <w:t>第三章  项目送审资料要求</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eastAsia="仿宋_GB2312"/>
          <w:color w:val="000000"/>
          <w:sz w:val="32"/>
          <w:szCs w:val="32"/>
        </w:rPr>
        <w:t xml:space="preserve">  项目预算（招标控制价）评审所需资料</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（一）项目立项文件或批准建设等文件：</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1.经市领导签批同意的建设项目申请评审文件。</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shd w:val="clear" w:color="auto" w:fill="auto"/>
        </w:rPr>
      </w:pPr>
      <w:r>
        <w:rPr>
          <w:rFonts w:hint="eastAsia" w:ascii="仿宋_GB2312" w:eastAsia="仿宋_GB2312"/>
          <w:color w:val="000000"/>
          <w:sz w:val="32"/>
          <w:szCs w:val="32"/>
        </w:rPr>
        <w:t>2.</w:t>
      </w:r>
      <w:r>
        <w:rPr>
          <w:rFonts w:hint="eastAsia" w:ascii="仿宋_GB2312" w:eastAsia="仿宋_GB2312"/>
          <w:color w:val="000000"/>
          <w:sz w:val="32"/>
          <w:szCs w:val="32"/>
          <w:shd w:val="clear" w:color="auto" w:fill="auto"/>
        </w:rPr>
        <w:t>项目的</w:t>
      </w:r>
      <w:r>
        <w:rPr>
          <w:rFonts w:hint="eastAsia" w:ascii="仿宋_GB2312" w:eastAsia="仿宋_GB2312"/>
          <w:color w:val="000000"/>
          <w:sz w:val="32"/>
          <w:szCs w:val="32"/>
          <w:shd w:val="clear" w:color="auto" w:fill="auto"/>
          <w:lang w:val="en-US" w:eastAsia="zh-CN"/>
        </w:rPr>
        <w:t>可研批复、初设批复文件</w:t>
      </w:r>
      <w:r>
        <w:rPr>
          <w:rFonts w:hint="eastAsia" w:ascii="仿宋_GB2312" w:eastAsia="仿宋_GB2312"/>
          <w:color w:val="000000"/>
          <w:sz w:val="32"/>
          <w:szCs w:val="32"/>
          <w:shd w:val="clear" w:color="auto" w:fill="auto"/>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3.项目的建设资金来源证明材料（</w:t>
      </w:r>
      <w:r>
        <w:rPr>
          <w:rFonts w:hint="eastAsia" w:ascii="仿宋_GB2312" w:hAnsi="华文楷体" w:eastAsia="仿宋_GB2312" w:cs="华文楷体"/>
          <w:color w:val="000000"/>
          <w:sz w:val="32"/>
          <w:szCs w:val="32"/>
        </w:rPr>
        <w:t>证明建设资金来源的批准文件或市政府会议纪要</w:t>
      </w:r>
      <w:r>
        <w:rPr>
          <w:rFonts w:hint="eastAsia" w:ascii="仿宋_GB2312" w:eastAsia="仿宋_GB2312"/>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4.经省及哈尔滨市有关主管部门下达的建设项目年度计划文件（</w:t>
      </w:r>
      <w:r>
        <w:rPr>
          <w:rFonts w:hint="eastAsia" w:ascii="仿宋_GB2312" w:hAnsi="楷体" w:eastAsia="仿宋_GB2312" w:cs="楷体"/>
          <w:color w:val="000000"/>
          <w:sz w:val="32"/>
          <w:szCs w:val="32"/>
        </w:rPr>
        <w:t>仅需复印送审项目所在年度计划页，并做相应标注</w:t>
      </w:r>
      <w:r>
        <w:rPr>
          <w:rFonts w:hint="eastAsia" w:ascii="仿宋_GB2312" w:eastAsia="仿宋_GB2312"/>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（以上内容第1项必须提供，其它三项至少提供一项，资料中必须明确建设项目批复金额。提供复印件即可，加盖公章）。</w:t>
      </w:r>
    </w:p>
    <w:p>
      <w:pPr>
        <w:pStyle w:val="8"/>
        <w:widowControl w:val="0"/>
        <w:spacing w:before="0" w:beforeAutospacing="0" w:after="0" w:afterAutospacing="0" w:line="560" w:lineRule="exact"/>
        <w:ind w:firstLine="632" w:firstLineChars="200"/>
        <w:jc w:val="both"/>
        <w:rPr>
          <w:rFonts w:hint="eastAsia" w:ascii="仿宋_GB2312" w:hAnsi="楷体" w:eastAsia="仿宋_GB2312" w:cs="楷体"/>
          <w:color w:val="000000"/>
          <w:sz w:val="32"/>
          <w:szCs w:val="32"/>
        </w:rPr>
      </w:pPr>
      <w:r>
        <w:rPr>
          <w:rFonts w:hint="eastAsia" w:ascii="仿宋_GB2312" w:eastAsia="仿宋_GB2312"/>
          <w:color w:val="000000"/>
          <w:sz w:val="32"/>
          <w:szCs w:val="32"/>
        </w:rPr>
        <w:t>（二）施工设计图纸</w:t>
      </w:r>
      <w:r>
        <w:rPr>
          <w:rFonts w:hint="eastAsia" w:ascii="仿宋_GB2312" w:hAnsi="楷体" w:eastAsia="仿宋_GB2312" w:cs="楷体"/>
          <w:color w:val="000000"/>
          <w:sz w:val="32"/>
          <w:szCs w:val="32"/>
        </w:rPr>
        <w:t>（图纸要求有相应设计资质的设计院盖章、签字；图纸目录必须有建设单位项目负责人签字确认，加盖公章；所有图纸加盖建设单位骑缝公章；为便于存档，请将图纸折叠为A4纸大小）</w:t>
      </w:r>
      <w:r>
        <w:rPr>
          <w:rFonts w:hint="eastAsia" w:ascii="仿宋_GB2312" w:eastAsia="仿宋_GB2312"/>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hAnsi="楷体" w:eastAsia="仿宋_GB2312" w:cs="楷体"/>
          <w:color w:val="000000"/>
          <w:sz w:val="32"/>
          <w:szCs w:val="32"/>
        </w:rPr>
      </w:pPr>
      <w:r>
        <w:rPr>
          <w:rFonts w:hint="eastAsia" w:ascii="仿宋_GB2312" w:eastAsia="仿宋_GB2312"/>
          <w:color w:val="000000"/>
          <w:sz w:val="32"/>
          <w:szCs w:val="32"/>
        </w:rPr>
        <w:t>（三）施工图CAD电子版</w:t>
      </w:r>
      <w:r>
        <w:rPr>
          <w:rFonts w:hint="eastAsia" w:ascii="仿宋_GB2312" w:hAnsi="楷体" w:eastAsia="仿宋_GB2312" w:cs="楷体"/>
          <w:color w:val="000000"/>
          <w:sz w:val="32"/>
          <w:szCs w:val="32"/>
        </w:rPr>
        <w:t>（需详细注明项目名称，设计院使用专业设计软件的，需转为普通CAD版送审）</w:t>
      </w:r>
      <w:r>
        <w:rPr>
          <w:rFonts w:hint="eastAsia" w:ascii="仿宋_GB2312" w:eastAsia="仿宋_GB2312"/>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hAnsi="楷体" w:eastAsia="仿宋_GB2312" w:cs="楷体"/>
          <w:color w:val="000000"/>
          <w:sz w:val="32"/>
          <w:szCs w:val="32"/>
        </w:rPr>
      </w:pPr>
      <w:r>
        <w:rPr>
          <w:rFonts w:hint="eastAsia" w:ascii="仿宋_GB2312" w:eastAsia="仿宋_GB2312"/>
          <w:color w:val="000000"/>
          <w:sz w:val="32"/>
          <w:szCs w:val="32"/>
        </w:rPr>
        <w:t>（四）项目预算纸质版</w:t>
      </w:r>
      <w:r>
        <w:rPr>
          <w:rFonts w:hint="eastAsia" w:ascii="仿宋_GB2312" w:hAnsi="楷体" w:eastAsia="仿宋_GB2312" w:cs="楷体"/>
          <w:color w:val="000000"/>
          <w:sz w:val="32"/>
          <w:szCs w:val="32"/>
        </w:rPr>
        <w:t>（建设单位项目负责人需在预算总价页签字并加盖公章，加盖预算编制人员执业章，并提供预算编制说明）</w:t>
      </w:r>
      <w:r>
        <w:rPr>
          <w:rFonts w:hint="eastAsia" w:ascii="仿宋_GB2312" w:eastAsia="仿宋_GB2312"/>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（五）项目预算广联达电子版。</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（六）施工前现场照片（</w:t>
      </w:r>
      <w:r>
        <w:rPr>
          <w:rFonts w:hint="eastAsia" w:ascii="仿宋_GB2312" w:hAnsi="楷体" w:eastAsia="仿宋_GB2312" w:cs="楷体"/>
          <w:color w:val="000000"/>
          <w:sz w:val="32"/>
          <w:szCs w:val="32"/>
        </w:rPr>
        <w:t>根据项目建设内容进行拍摄，应有项目地全景图、细节图及关键部位节点图）</w:t>
      </w:r>
      <w:r>
        <w:rPr>
          <w:rFonts w:hint="eastAsia" w:ascii="仿宋_GB2312" w:eastAsia="仿宋_GB2312"/>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（七）送审项目中如有专业工程暂估价、特殊施工方案，需建设单位提供相应手续，加盖公章并由项目负责人签字。</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（八）填写完整的“评审项目资料清单及承诺”（见附件</w:t>
      </w:r>
      <w:r>
        <w:rPr>
          <w:rFonts w:ascii="仿宋_GB2312" w:eastAsia="仿宋_GB2312"/>
          <w:color w:val="000000"/>
          <w:sz w:val="32"/>
          <w:szCs w:val="32"/>
        </w:rPr>
        <w:t>1</w:t>
      </w:r>
      <w:r>
        <w:rPr>
          <w:rFonts w:hint="eastAsia" w:ascii="仿宋_GB2312" w:eastAsia="仿宋_GB2312"/>
          <w:color w:val="000000"/>
          <w:sz w:val="32"/>
          <w:szCs w:val="32"/>
        </w:rPr>
        <w:t>），建设单位项目负责人签字并加盖公章。</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（九）以上资料一次性送审。纸质版与</w:t>
      </w:r>
      <w:r>
        <w:rPr>
          <w:rFonts w:hint="eastAsia" w:ascii="仿宋_GB2312" w:hAnsi="仿宋_GB2312" w:eastAsia="仿宋_GB2312" w:cs="仿宋_GB2312"/>
          <w:color w:val="000000"/>
          <w:sz w:val="32"/>
          <w:szCs w:val="32"/>
        </w:rPr>
        <w:t>电子</w:t>
      </w:r>
      <w:r>
        <w:rPr>
          <w:rFonts w:hint="eastAsia" w:ascii="仿宋_GB2312" w:eastAsia="仿宋_GB2312"/>
          <w:color w:val="000000"/>
          <w:sz w:val="32"/>
          <w:szCs w:val="32"/>
        </w:rPr>
        <w:t>版内容与金额要一致。</w:t>
      </w:r>
      <w:r>
        <w:rPr>
          <w:rFonts w:hint="eastAsia" w:ascii="仿宋_GB2312" w:eastAsia="仿宋_GB2312"/>
          <w:color w:val="000000"/>
          <w:sz w:val="32"/>
          <w:szCs w:val="32"/>
          <w:lang w:val="en-US" w:eastAsia="zh-CN"/>
        </w:rPr>
        <w:t>纸质版扫描件及电子版资料同时上传财政评审中心评审系统。</w:t>
      </w:r>
      <w:r>
        <w:rPr>
          <w:rFonts w:hint="eastAsia" w:ascii="仿宋_GB2312" w:eastAsia="仿宋_GB2312"/>
          <w:color w:val="000000"/>
          <w:sz w:val="32"/>
          <w:szCs w:val="32"/>
        </w:rPr>
        <w:t>一经确定进入评审工作实施阶段，不可更换；如需更换，需以正式文件向市政府申请，经市领导批示同意后重新送审。</w:t>
      </w:r>
    </w:p>
    <w:p>
      <w:pPr>
        <w:pStyle w:val="8"/>
        <w:widowControl w:val="0"/>
        <w:spacing w:before="0" w:beforeAutospacing="0" w:after="0" w:afterAutospacing="0" w:line="560" w:lineRule="exact"/>
        <w:ind w:firstLine="632" w:firstLineChars="200"/>
        <w:jc w:val="both"/>
        <w:rPr>
          <w:rFonts w:hint="eastAsia" w:ascii="仿宋_GB2312" w:hAnsi="黑体" w:eastAsia="仿宋_GB2312" w:cs="仿宋"/>
          <w:bCs/>
          <w:color w:val="000000"/>
          <w:sz w:val="32"/>
          <w:szCs w:val="32"/>
        </w:rPr>
      </w:pPr>
      <w:r>
        <w:rPr>
          <w:rFonts w:hint="eastAsia" w:ascii="黑体" w:hAnsi="黑体" w:eastAsia="黑体"/>
          <w:color w:val="000000"/>
          <w:sz w:val="32"/>
          <w:szCs w:val="32"/>
        </w:rPr>
        <w:t>第十条</w:t>
      </w:r>
      <w:r>
        <w:rPr>
          <w:rFonts w:hint="eastAsia" w:ascii="仿宋_GB2312" w:eastAsia="仿宋_GB2312"/>
          <w:color w:val="000000"/>
          <w:sz w:val="32"/>
          <w:szCs w:val="32"/>
        </w:rPr>
        <w:t xml:space="preserve">  项目结算评审所需资料</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（一）市领导签字的批示文件</w:t>
      </w:r>
      <w:r>
        <w:rPr>
          <w:rFonts w:hint="eastAsia" w:ascii="仿宋_GB2312" w:hAnsi="楷体" w:eastAsia="仿宋_GB2312" w:cs="楷体"/>
          <w:color w:val="000000"/>
          <w:sz w:val="32"/>
          <w:szCs w:val="32"/>
        </w:rPr>
        <w:t>（建设单位送审的结算金额如果超出中标价格，须在此文件中详细说明）。</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（二）未经预算评审的结算项目需按预算（招标控制价）送审资料要求提供项目立项文件及证明项目资金来源的批准文件。</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（三）经预算（招标控制价）评审过的项目需提供评审报告编号。</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（四）施工单位营业执照复印件</w:t>
      </w:r>
      <w:r>
        <w:rPr>
          <w:rFonts w:hint="eastAsia" w:ascii="仿宋_GB2312" w:hAnsi="楷体" w:eastAsia="仿宋_GB2312" w:cs="楷体"/>
          <w:color w:val="000000"/>
          <w:sz w:val="32"/>
          <w:szCs w:val="32"/>
        </w:rPr>
        <w:t>（需加盖施工单位公章）。</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（五）施工单位资质复印件</w:t>
      </w:r>
      <w:r>
        <w:rPr>
          <w:rFonts w:hint="eastAsia" w:ascii="仿宋_GB2312" w:hAnsi="楷体" w:eastAsia="仿宋_GB2312" w:cs="楷体"/>
          <w:color w:val="000000"/>
          <w:sz w:val="32"/>
          <w:szCs w:val="32"/>
        </w:rPr>
        <w:t>（需加盖施工单位公章）。</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（六）施工合同</w:t>
      </w:r>
      <w:r>
        <w:rPr>
          <w:rFonts w:hint="eastAsia" w:ascii="仿宋_GB2312" w:hAnsi="楷体" w:eastAsia="仿宋_GB2312" w:cs="楷体"/>
          <w:color w:val="000000"/>
          <w:sz w:val="32"/>
          <w:szCs w:val="32"/>
        </w:rPr>
        <w:t>（需建设单位、施工单位双方盖公章并签字，并加盖建设单位骑缝章。送审施工合同可以是复印件，复印件需加盖建设单位骑缝章，并在合同盖章页加盖建设单位公章</w:t>
      </w:r>
      <w:r>
        <w:rPr>
          <w:rFonts w:hint="eastAsia" w:ascii="仿宋_GB2312" w:eastAsia="仿宋_GB2312"/>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（七）施工设计图纸</w:t>
      </w:r>
      <w:r>
        <w:rPr>
          <w:rFonts w:hint="eastAsia" w:ascii="仿宋_GB2312" w:hAnsi="楷体" w:eastAsia="仿宋_GB2312" w:cs="楷体"/>
          <w:color w:val="000000"/>
          <w:sz w:val="32"/>
          <w:szCs w:val="32"/>
        </w:rPr>
        <w:t>（如果该项目在评审中心做过预算评审，无需提供此项资料）。</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（八）竣工图纸</w:t>
      </w:r>
      <w:r>
        <w:rPr>
          <w:rFonts w:hint="eastAsia" w:ascii="仿宋_GB2312" w:hAnsi="楷体" w:eastAsia="仿宋_GB2312" w:cs="楷体"/>
          <w:color w:val="000000"/>
          <w:sz w:val="32"/>
          <w:szCs w:val="32"/>
        </w:rPr>
        <w:t>（报审图纸应做详细的目录，标明分部分项图纸名称，报审图纸页数，并按图纸目录顺序整理成册。每张图纸要求有竣工图章、签字完整，每张图纸都需建设单位、施工单位、监理单位加盖公章并有相应负责人签字。为便于存档，请将图纸折叠为A4纸大小）。</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（九）竣工图CAD电子版</w:t>
      </w:r>
      <w:r>
        <w:rPr>
          <w:rFonts w:hint="eastAsia" w:ascii="仿宋_GB2312" w:hAnsi="楷体" w:eastAsia="仿宋_GB2312" w:cs="楷体"/>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lang w:eastAsia="zh-CN"/>
        </w:rPr>
      </w:pPr>
      <w:r>
        <w:rPr>
          <w:rFonts w:hint="eastAsia" w:ascii="仿宋_GB2312" w:eastAsia="仿宋_GB2312"/>
          <w:color w:val="000000"/>
          <w:sz w:val="32"/>
          <w:szCs w:val="32"/>
        </w:rPr>
        <w:t>（十）竣工结算书。要求结算书金额与市领导签字的批示文件金额相符</w:t>
      </w:r>
      <w:r>
        <w:rPr>
          <w:rFonts w:hint="eastAsia" w:ascii="仿宋_GB2312" w:eastAsia="仿宋_GB2312"/>
          <w:color w:val="000000"/>
          <w:sz w:val="32"/>
          <w:szCs w:val="32"/>
          <w:lang w:eastAsia="zh-CN"/>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（十一）竣工结算广联达电子版</w:t>
      </w:r>
      <w:r>
        <w:rPr>
          <w:rFonts w:hint="eastAsia" w:ascii="仿宋_GB2312" w:hAnsi="楷体" w:eastAsia="仿宋_GB2312" w:cs="楷体"/>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（十二）详细的工程量计算书。</w:t>
      </w:r>
    </w:p>
    <w:p>
      <w:pPr>
        <w:pStyle w:val="8"/>
        <w:widowControl w:val="0"/>
        <w:spacing w:before="0" w:beforeAutospacing="0" w:after="0" w:afterAutospacing="0" w:line="560" w:lineRule="exact"/>
        <w:ind w:firstLine="632" w:firstLineChars="200"/>
        <w:jc w:val="both"/>
        <w:rPr>
          <w:rFonts w:hint="eastAsia" w:ascii="仿宋_GB2312" w:hAnsi="楷体" w:eastAsia="仿宋_GB2312" w:cs="楷体"/>
          <w:color w:val="000000"/>
          <w:sz w:val="32"/>
          <w:szCs w:val="32"/>
        </w:rPr>
      </w:pPr>
      <w:r>
        <w:rPr>
          <w:rFonts w:hint="eastAsia" w:ascii="仿宋_GB2312" w:eastAsia="仿宋_GB2312"/>
          <w:color w:val="000000"/>
          <w:sz w:val="32"/>
          <w:szCs w:val="32"/>
        </w:rPr>
        <w:t>（十三）竣工验收报告</w:t>
      </w:r>
      <w:r>
        <w:rPr>
          <w:rFonts w:hint="eastAsia" w:ascii="仿宋_GB2312" w:hAnsi="楷体" w:eastAsia="仿宋_GB2312" w:cs="楷体"/>
          <w:color w:val="000000"/>
          <w:sz w:val="32"/>
          <w:szCs w:val="32"/>
        </w:rPr>
        <w:t>（建设单位、施工单位、监理单位、设计单位、勘察单位等相关责任主体共同盖章且相关负责人要签字）。</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（十四）施工前、中、后照片</w:t>
      </w:r>
      <w:r>
        <w:rPr>
          <w:rFonts w:hint="eastAsia" w:ascii="仿宋_GB2312" w:hAnsi="楷体" w:eastAsia="仿宋_GB2312" w:cs="楷体"/>
          <w:color w:val="000000"/>
          <w:sz w:val="32"/>
          <w:szCs w:val="32"/>
        </w:rPr>
        <w:t>（根据项目建设内容进行拍摄，应有项目地全景图、细节图及关键部位节点图）。</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（十五）内业资料</w:t>
      </w:r>
      <w:r>
        <w:rPr>
          <w:rFonts w:hint="eastAsia" w:ascii="仿宋_GB2312" w:hAnsi="楷体" w:eastAsia="仿宋_GB2312" w:cs="楷体"/>
          <w:color w:val="000000"/>
          <w:sz w:val="32"/>
          <w:szCs w:val="32"/>
        </w:rPr>
        <w:t>（包含但不限于设计变更、现场签证、施工组织设计、施工方案、隐蔽工程记录等。内业资料按时间先后顺序和专业整理成册，统一编号。设计变更应提供设计变更图纸和充分且详细的变更说明。现场签证应有具体的工程数量、计算过程、施工简图和充分且详细的说明。隐蔽工程记录需提供完整图像纪实档案。以上资料均需要建设单位、监理单位、施工单位及其他相关责任单位项目负责人签字并加盖公章）。</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（十六）采用</w:t>
      </w:r>
      <w:r>
        <w:rPr>
          <w:rFonts w:hint="eastAsia" w:ascii="仿宋_GB2312" w:hAnsi="仿宋_GB2312" w:eastAsia="仿宋_GB2312" w:cs="仿宋_GB2312"/>
          <w:color w:val="000000"/>
          <w:sz w:val="32"/>
          <w:szCs w:val="32"/>
        </w:rPr>
        <w:t>招投标方式建设的项目的结算评审还需要提交以下资料：</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1.招标文件</w:t>
      </w:r>
      <w:r>
        <w:rPr>
          <w:rFonts w:hint="eastAsia" w:ascii="仿宋_GB2312" w:hAnsi="楷体" w:eastAsia="仿宋_GB2312" w:cs="楷体"/>
          <w:color w:val="000000"/>
          <w:sz w:val="32"/>
          <w:szCs w:val="32"/>
        </w:rPr>
        <w:t>（需招标代理机构和建设单位盖章）</w:t>
      </w:r>
      <w:r>
        <w:rPr>
          <w:rFonts w:hint="eastAsia" w:ascii="仿宋_GB2312" w:eastAsia="仿宋_GB2312"/>
          <w:color w:val="000000"/>
          <w:sz w:val="32"/>
          <w:szCs w:val="32"/>
        </w:rPr>
        <w:t>；</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2.投标文件（</w:t>
      </w:r>
      <w:r>
        <w:rPr>
          <w:rFonts w:hint="eastAsia" w:ascii="仿宋_GB2312" w:hAnsi="楷体" w:eastAsia="仿宋_GB2312" w:cs="楷体"/>
          <w:color w:val="000000"/>
          <w:sz w:val="32"/>
          <w:szCs w:val="32"/>
        </w:rPr>
        <w:t>需施工单位和建设单位盖章）</w:t>
      </w:r>
      <w:r>
        <w:rPr>
          <w:rFonts w:hint="eastAsia" w:ascii="仿宋_GB2312" w:eastAsia="仿宋_GB2312"/>
          <w:color w:val="000000"/>
          <w:sz w:val="32"/>
          <w:szCs w:val="32"/>
        </w:rPr>
        <w:t>；</w:t>
      </w:r>
    </w:p>
    <w:p>
      <w:pPr>
        <w:pStyle w:val="8"/>
        <w:widowControl w:val="0"/>
        <w:spacing w:before="0" w:beforeAutospacing="0" w:after="0" w:afterAutospacing="0" w:line="560" w:lineRule="exact"/>
        <w:ind w:firstLine="632" w:firstLineChars="200"/>
        <w:jc w:val="both"/>
        <w:rPr>
          <w:rStyle w:val="7"/>
          <w:rFonts w:hint="eastAsia" w:ascii="仿宋_GB2312" w:eastAsia="仿宋_GB2312"/>
          <w:color w:val="000000"/>
          <w:sz w:val="32"/>
          <w:szCs w:val="32"/>
          <w:u w:val="none"/>
        </w:rPr>
      </w:pPr>
      <w:r>
        <w:rPr>
          <w:rFonts w:hint="eastAsia" w:ascii="仿宋_GB2312" w:eastAsia="仿宋_GB2312"/>
          <w:color w:val="000000"/>
          <w:sz w:val="32"/>
          <w:szCs w:val="32"/>
        </w:rPr>
        <w:t>3.投标文件广联达电子版；</w:t>
      </w:r>
      <w:r>
        <w:rPr>
          <w:rStyle w:val="7"/>
          <w:rFonts w:hint="eastAsia" w:ascii="仿宋_GB2312" w:eastAsia="仿宋_GB2312"/>
          <w:color w:val="000000"/>
          <w:sz w:val="32"/>
          <w:szCs w:val="32"/>
          <w:u w:val="none"/>
        </w:rPr>
        <w:t xml:space="preserve"> </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4.中标通知书</w:t>
      </w:r>
      <w:r>
        <w:rPr>
          <w:rFonts w:hint="eastAsia" w:ascii="仿宋_GB2312" w:hAnsi="楷体" w:eastAsia="仿宋_GB2312" w:cs="楷体"/>
          <w:color w:val="000000"/>
          <w:sz w:val="32"/>
          <w:szCs w:val="32"/>
        </w:rPr>
        <w:t>（可以是复印件，须加盖建设单位公章）；</w:t>
      </w:r>
    </w:p>
    <w:p>
      <w:pPr>
        <w:pStyle w:val="8"/>
        <w:widowControl w:val="0"/>
        <w:spacing w:before="0" w:beforeAutospacing="0" w:after="0" w:afterAutospacing="0" w:line="560" w:lineRule="exact"/>
        <w:ind w:firstLine="632" w:firstLineChars="200"/>
        <w:jc w:val="both"/>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5.</w:t>
      </w:r>
      <w:r>
        <w:rPr>
          <w:rFonts w:hint="eastAsia" w:ascii="仿宋_GB2312" w:hAnsi="仿宋_GB2312" w:eastAsia="仿宋_GB2312" w:cs="仿宋_GB2312"/>
          <w:color w:val="000000"/>
          <w:sz w:val="32"/>
          <w:szCs w:val="32"/>
        </w:rPr>
        <w:t>设计变更要符合程序，设计变更通知单或图纸需设计单位盖章、签字。</w:t>
      </w:r>
    </w:p>
    <w:p>
      <w:pPr>
        <w:pStyle w:val="8"/>
        <w:widowControl w:val="0"/>
        <w:spacing w:before="0" w:beforeAutospacing="0" w:after="0" w:afterAutospacing="0" w:line="560" w:lineRule="exact"/>
        <w:ind w:firstLine="632" w:firstLineChars="200"/>
        <w:jc w:val="both"/>
        <w:rPr>
          <w:rFonts w:hint="default" w:ascii="仿宋_GB2312" w:eastAsia="仿宋_GB2312"/>
          <w:color w:val="000000"/>
          <w:sz w:val="32"/>
          <w:szCs w:val="32"/>
          <w:lang w:val="en-US" w:eastAsia="zh-CN"/>
        </w:rPr>
      </w:pPr>
      <w:r>
        <w:rPr>
          <w:rFonts w:hint="eastAsia" w:ascii="仿宋_GB2312" w:hAnsi="仿宋_GB2312" w:eastAsia="仿宋_GB2312" w:cs="仿宋_GB2312"/>
          <w:color w:val="000000"/>
          <w:sz w:val="32"/>
          <w:szCs w:val="32"/>
        </w:rPr>
        <w:t>（十七）</w:t>
      </w:r>
      <w:r>
        <w:rPr>
          <w:rFonts w:hint="eastAsia" w:ascii="仿宋_GB2312" w:eastAsia="仿宋_GB2312"/>
          <w:color w:val="000000"/>
          <w:sz w:val="32"/>
          <w:szCs w:val="32"/>
        </w:rPr>
        <w:t>以上资料一次性送审。纸质版与</w:t>
      </w:r>
      <w:r>
        <w:rPr>
          <w:rFonts w:hint="eastAsia" w:ascii="仿宋_GB2312" w:hAnsi="仿宋_GB2312" w:eastAsia="仿宋_GB2312" w:cs="仿宋_GB2312"/>
          <w:color w:val="000000"/>
          <w:sz w:val="32"/>
          <w:szCs w:val="32"/>
        </w:rPr>
        <w:t>电子</w:t>
      </w:r>
      <w:r>
        <w:rPr>
          <w:rFonts w:hint="eastAsia" w:ascii="仿宋_GB2312" w:eastAsia="仿宋_GB2312"/>
          <w:color w:val="000000"/>
          <w:sz w:val="32"/>
          <w:szCs w:val="32"/>
        </w:rPr>
        <w:t>版内容与金额要一致。</w:t>
      </w:r>
      <w:r>
        <w:rPr>
          <w:rFonts w:hint="eastAsia" w:ascii="仿宋_GB2312" w:eastAsia="仿宋_GB2312"/>
          <w:color w:val="000000"/>
          <w:sz w:val="32"/>
          <w:szCs w:val="32"/>
          <w:lang w:val="en-US" w:eastAsia="zh-CN"/>
        </w:rPr>
        <w:t>纸质版扫描件及电子版资料同时上传财政评审中心评审系统。</w:t>
      </w:r>
      <w:r>
        <w:rPr>
          <w:rFonts w:hint="eastAsia" w:ascii="仿宋_GB2312" w:eastAsia="仿宋_GB2312"/>
          <w:color w:val="000000"/>
          <w:sz w:val="32"/>
          <w:szCs w:val="32"/>
        </w:rPr>
        <w:t>一经确定进入评审工作实施阶段，不可更换；如需更换，需以正式文件向市政府申请，经市领导批示同意后重新送审。</w:t>
      </w:r>
    </w:p>
    <w:p>
      <w:pPr>
        <w:pStyle w:val="8"/>
        <w:widowControl w:val="0"/>
        <w:spacing w:before="0" w:beforeAutospacing="0" w:after="0" w:afterAutospacing="0" w:line="480" w:lineRule="auto"/>
        <w:jc w:val="center"/>
        <w:rPr>
          <w:rFonts w:hint="eastAsia" w:ascii="黑体" w:hAnsi="黑体" w:eastAsia="黑体" w:cs="黑体"/>
          <w:bCs/>
          <w:color w:val="000000"/>
          <w:sz w:val="32"/>
          <w:szCs w:val="32"/>
        </w:rPr>
      </w:pPr>
      <w:r>
        <w:rPr>
          <w:rFonts w:hint="eastAsia" w:ascii="黑体" w:hAnsi="黑体" w:eastAsia="黑体" w:cs="黑体"/>
          <w:bCs/>
          <w:color w:val="000000"/>
          <w:kern w:val="2"/>
          <w:sz w:val="32"/>
          <w:szCs w:val="32"/>
        </w:rPr>
        <w:t xml:space="preserve">第四章  </w:t>
      </w:r>
      <w:r>
        <w:rPr>
          <w:rFonts w:hint="eastAsia" w:ascii="黑体" w:hAnsi="黑体" w:eastAsia="黑体" w:cs="黑体"/>
          <w:bCs/>
          <w:color w:val="000000"/>
          <w:sz w:val="32"/>
          <w:szCs w:val="32"/>
        </w:rPr>
        <w:t>补报资料的具体要求与送审方式</w:t>
      </w:r>
    </w:p>
    <w:p>
      <w:pPr>
        <w:adjustRightInd w:val="0"/>
        <w:snapToGrid w:val="0"/>
        <w:spacing w:line="560" w:lineRule="exact"/>
        <w:ind w:firstLine="632" w:firstLineChars="200"/>
        <w:rPr>
          <w:rFonts w:hint="eastAsia" w:ascii="仿宋_GB2312" w:eastAsia="仿宋_GB2312" w:cs="宋体"/>
          <w:color w:val="000000"/>
          <w:sz w:val="32"/>
          <w:szCs w:val="32"/>
        </w:rPr>
      </w:pPr>
      <w:r>
        <w:rPr>
          <w:rFonts w:hint="eastAsia" w:ascii="黑体" w:hAnsi="黑体" w:eastAsia="黑体" w:cs="宋体"/>
          <w:color w:val="000000"/>
          <w:sz w:val="32"/>
          <w:szCs w:val="32"/>
        </w:rPr>
        <w:t>第十一条</w:t>
      </w:r>
      <w:r>
        <w:rPr>
          <w:rFonts w:hint="eastAsia" w:ascii="仿宋_GB2312" w:eastAsia="仿宋_GB2312" w:cs="宋体"/>
          <w:color w:val="000000"/>
          <w:sz w:val="32"/>
          <w:szCs w:val="32"/>
        </w:rPr>
        <w:t xml:space="preserve">  经市领导批准同意建设单位补报资料的项目，补</w:t>
      </w:r>
      <w:r>
        <w:rPr>
          <w:rFonts w:hint="eastAsia" w:ascii="仿宋_GB2312" w:eastAsia="仿宋_GB2312" w:cs="宋体"/>
          <w:color w:val="000000"/>
          <w:spacing w:val="-8"/>
          <w:sz w:val="32"/>
          <w:szCs w:val="32"/>
        </w:rPr>
        <w:t>报资料需由建设单位法定代表人签字确认并填写补报资料汇总表（附件</w:t>
      </w:r>
      <w:r>
        <w:rPr>
          <w:rFonts w:ascii="仿宋_GB2312" w:eastAsia="仿宋_GB2312" w:cs="宋体"/>
          <w:color w:val="000000"/>
          <w:spacing w:val="-8"/>
          <w:sz w:val="32"/>
          <w:szCs w:val="32"/>
        </w:rPr>
        <w:t>3</w:t>
      </w:r>
      <w:r>
        <w:rPr>
          <w:rFonts w:hint="eastAsia" w:ascii="仿宋_GB2312" w:eastAsia="仿宋_GB2312" w:cs="宋体"/>
          <w:color w:val="000000"/>
          <w:spacing w:val="-8"/>
          <w:sz w:val="32"/>
          <w:szCs w:val="32"/>
        </w:rPr>
        <w:t>）。</w:t>
      </w:r>
    </w:p>
    <w:p>
      <w:pPr>
        <w:adjustRightInd w:val="0"/>
        <w:snapToGrid w:val="0"/>
        <w:spacing w:line="560" w:lineRule="exact"/>
        <w:ind w:firstLine="632" w:firstLineChars="200"/>
        <w:rPr>
          <w:rFonts w:hint="eastAsia" w:ascii="仿宋_GB2312" w:eastAsia="仿宋_GB2312" w:cs="宋体"/>
          <w:color w:val="000000"/>
          <w:sz w:val="32"/>
          <w:szCs w:val="32"/>
        </w:rPr>
      </w:pPr>
      <w:r>
        <w:rPr>
          <w:rFonts w:hint="eastAsia" w:ascii="黑体" w:hAnsi="黑体" w:eastAsia="黑体" w:cs="宋体"/>
          <w:color w:val="000000"/>
          <w:sz w:val="32"/>
          <w:szCs w:val="32"/>
        </w:rPr>
        <w:t>第十二条</w:t>
      </w:r>
      <w:r>
        <w:rPr>
          <w:rFonts w:hint="eastAsia" w:ascii="仿宋_GB2312" w:eastAsia="仿宋_GB2312" w:cs="宋体"/>
          <w:color w:val="000000"/>
          <w:sz w:val="32"/>
          <w:szCs w:val="32"/>
        </w:rPr>
        <w:t xml:space="preserve">  补报资料的纸质版与电子版文件要一致。</w:t>
      </w:r>
    </w:p>
    <w:p>
      <w:pPr>
        <w:adjustRightInd w:val="0"/>
        <w:snapToGrid w:val="0"/>
        <w:spacing w:line="560" w:lineRule="exact"/>
        <w:ind w:firstLine="632" w:firstLineChars="200"/>
        <w:rPr>
          <w:rFonts w:hint="eastAsia" w:ascii="仿宋_GB2312" w:hAnsi="宋体" w:eastAsia="仿宋_GB2312" w:cs="宋体"/>
          <w:b/>
          <w:bCs/>
          <w:color w:val="000000"/>
          <w:sz w:val="32"/>
          <w:szCs w:val="32"/>
        </w:rPr>
      </w:pPr>
      <w:r>
        <w:rPr>
          <w:rFonts w:hint="eastAsia" w:ascii="黑体" w:hAnsi="黑体" w:eastAsia="黑体" w:cs="宋体"/>
          <w:color w:val="000000"/>
          <w:sz w:val="32"/>
          <w:szCs w:val="32"/>
        </w:rPr>
        <w:t>第十三条</w:t>
      </w:r>
      <w:r>
        <w:rPr>
          <w:rFonts w:hint="eastAsia" w:ascii="仿宋_GB2312" w:eastAsia="仿宋_GB2312" w:cs="宋体"/>
          <w:color w:val="000000"/>
          <w:sz w:val="32"/>
          <w:szCs w:val="32"/>
        </w:rPr>
        <w:t xml:space="preserve">  在预算（招标控制价）评审阶段，局部设计如果更改，更改后的设计图纸要将局部更改的部位在该次补报的纸质版图纸及CAD电子版上同时醒目标记，并根据专业进行排序，例如：水1.2……，且编辑说明。如果没有将更改部位进行标记，则以原报资料为准。所有更改资料均需要建设单位项目负责人签字确认，并加盖公章。</w:t>
      </w:r>
    </w:p>
    <w:p>
      <w:pPr>
        <w:spacing w:before="579" w:beforeLines="100" w:after="579" w:afterLines="100" w:line="560" w:lineRule="exact"/>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第五章  项目评审要求与相关标准</w:t>
      </w:r>
    </w:p>
    <w:p>
      <w:pPr>
        <w:spacing w:line="560" w:lineRule="exact"/>
        <w:ind w:firstLine="632" w:firstLineChars="200"/>
        <w:rPr>
          <w:rFonts w:hint="eastAsia" w:ascii="仿宋_GB2312" w:hAnsi="仿宋_GB2312" w:eastAsia="仿宋_GB2312" w:cs="仿宋_GB2312"/>
          <w:color w:val="000000"/>
          <w:kern w:val="0"/>
          <w:sz w:val="32"/>
          <w:szCs w:val="32"/>
        </w:rPr>
      </w:pPr>
      <w:r>
        <w:rPr>
          <w:rFonts w:hint="eastAsia" w:ascii="黑体" w:hAnsi="黑体" w:eastAsia="黑体" w:cs="仿宋_GB2312"/>
          <w:color w:val="000000"/>
          <w:kern w:val="0"/>
          <w:sz w:val="32"/>
          <w:szCs w:val="32"/>
        </w:rPr>
        <w:t>第十四条</w:t>
      </w:r>
      <w:r>
        <w:rPr>
          <w:rFonts w:hint="eastAsia" w:ascii="仿宋_GB2312" w:hAnsi="仿宋_GB2312" w:eastAsia="仿宋_GB2312" w:cs="仿宋_GB2312"/>
          <w:color w:val="000000"/>
          <w:kern w:val="0"/>
          <w:sz w:val="32"/>
          <w:szCs w:val="32"/>
        </w:rPr>
        <w:t xml:space="preserve">  项目预（概）算书应由项目建设单位提供。项目建设单位委托其他单位编制项目预（概）算的，由项目单位确认后送评审机构进行评审。</w:t>
      </w:r>
    </w:p>
    <w:p>
      <w:pPr>
        <w:spacing w:line="560" w:lineRule="exact"/>
        <w:ind w:firstLine="632" w:firstLineChars="200"/>
        <w:rPr>
          <w:rFonts w:hint="eastAsia" w:ascii="仿宋_GB2312" w:hAnsi="仿宋_GB2312" w:eastAsia="仿宋_GB2312" w:cs="仿宋_GB2312"/>
          <w:color w:val="000000"/>
          <w:kern w:val="0"/>
          <w:sz w:val="32"/>
          <w:szCs w:val="32"/>
        </w:rPr>
      </w:pPr>
      <w:r>
        <w:rPr>
          <w:rFonts w:hint="eastAsia" w:ascii="黑体" w:hAnsi="黑体" w:eastAsia="黑体" w:cs="仿宋_GB2312"/>
          <w:color w:val="000000"/>
          <w:kern w:val="0"/>
          <w:sz w:val="32"/>
          <w:szCs w:val="32"/>
        </w:rPr>
        <w:t>第十五条</w:t>
      </w:r>
      <w:r>
        <w:rPr>
          <w:rFonts w:hint="eastAsia" w:ascii="仿宋_GB2312" w:hAnsi="仿宋_GB2312" w:eastAsia="仿宋_GB2312" w:cs="仿宋_GB2312"/>
          <w:color w:val="000000"/>
          <w:kern w:val="0"/>
          <w:sz w:val="32"/>
          <w:szCs w:val="32"/>
        </w:rPr>
        <w:t xml:space="preserve">  项目建设程序审核包括但不限于对项目立项、项目可行性研究报告、项目初步设计概算等批准文件的程序性审核。</w:t>
      </w:r>
    </w:p>
    <w:p>
      <w:pPr>
        <w:spacing w:line="560" w:lineRule="exact"/>
        <w:ind w:firstLine="632" w:firstLineChars="200"/>
        <w:rPr>
          <w:rFonts w:hint="eastAsia" w:ascii="仿宋_GB2312" w:hAnsi="仿宋_GB2312" w:eastAsia="仿宋_GB2312" w:cs="仿宋_GB2312"/>
          <w:color w:val="000000"/>
          <w:kern w:val="0"/>
          <w:sz w:val="32"/>
          <w:szCs w:val="32"/>
        </w:rPr>
      </w:pPr>
      <w:r>
        <w:rPr>
          <w:rFonts w:hint="eastAsia" w:ascii="黑体" w:hAnsi="黑体" w:eastAsia="黑体" w:cs="仿宋_GB2312"/>
          <w:color w:val="000000"/>
          <w:kern w:val="0"/>
          <w:sz w:val="32"/>
          <w:szCs w:val="32"/>
        </w:rPr>
        <w:t>第十六条</w:t>
      </w:r>
      <w:r>
        <w:rPr>
          <w:rFonts w:hint="eastAsia" w:ascii="仿宋_GB2312" w:hAnsi="仿宋_GB2312" w:eastAsia="仿宋_GB2312" w:cs="仿宋_GB2312"/>
          <w:color w:val="000000"/>
          <w:kern w:val="0"/>
          <w:sz w:val="32"/>
          <w:szCs w:val="32"/>
        </w:rPr>
        <w:t xml:space="preserve">  建设项目包含隐蔽工程的，项目建设单位应提供隐蔽工程照片或影像记录，并由项目单位及项目负责人、监理、施工单位负责人及其他相关人员于确认单上签字、盖章。</w:t>
      </w:r>
    </w:p>
    <w:p>
      <w:pPr>
        <w:spacing w:line="560" w:lineRule="exact"/>
        <w:ind w:firstLine="632" w:firstLineChars="200"/>
        <w:rPr>
          <w:rFonts w:hint="eastAsia" w:ascii="仿宋_GB2312" w:hAnsi="仿宋_GB2312" w:eastAsia="仿宋_GB2312" w:cs="仿宋_GB2312"/>
          <w:color w:val="000000"/>
          <w:kern w:val="0"/>
          <w:sz w:val="32"/>
          <w:szCs w:val="32"/>
        </w:rPr>
      </w:pPr>
      <w:r>
        <w:rPr>
          <w:rFonts w:hint="eastAsia" w:ascii="黑体" w:hAnsi="黑体" w:eastAsia="黑体" w:cs="仿宋_GB2312"/>
          <w:color w:val="000000"/>
          <w:kern w:val="0"/>
          <w:sz w:val="32"/>
          <w:szCs w:val="32"/>
        </w:rPr>
        <w:t>第十七条</w:t>
      </w:r>
      <w:r>
        <w:rPr>
          <w:rFonts w:hint="eastAsia" w:ascii="仿宋_GB2312" w:hAnsi="仿宋_GB2312" w:eastAsia="仿宋_GB2312" w:cs="仿宋_GB2312"/>
          <w:color w:val="000000"/>
          <w:kern w:val="0"/>
          <w:sz w:val="32"/>
          <w:szCs w:val="32"/>
        </w:rPr>
        <w:t xml:space="preserve">  结算送审项目需符合现场踏查条件，因水淹没、冰雪覆盖等造成无法踏查测量的，应延期评审或以建设单位确认单为准，确认单除项目负责人、监理签字外还需建设单位及法定代表人盖章、签字。</w:t>
      </w:r>
    </w:p>
    <w:p>
      <w:pPr>
        <w:spacing w:line="560" w:lineRule="exact"/>
        <w:ind w:firstLine="632" w:firstLineChars="200"/>
        <w:rPr>
          <w:rFonts w:hint="eastAsia" w:ascii="仿宋_GB2312" w:eastAsia="仿宋_GB2312" w:cs="宋体"/>
          <w:color w:val="000000"/>
          <w:kern w:val="0"/>
          <w:sz w:val="32"/>
          <w:szCs w:val="32"/>
        </w:rPr>
      </w:pPr>
      <w:r>
        <w:rPr>
          <w:rFonts w:hint="eastAsia" w:ascii="黑体" w:hAnsi="黑体" w:eastAsia="黑体" w:cs="仿宋_GB2312"/>
          <w:color w:val="000000"/>
          <w:kern w:val="0"/>
          <w:sz w:val="32"/>
          <w:szCs w:val="32"/>
        </w:rPr>
        <w:t>第十八条</w:t>
      </w:r>
      <w:r>
        <w:rPr>
          <w:rFonts w:hint="eastAsia" w:ascii="仿宋_GB2312" w:hAnsi="仿宋_GB2312" w:eastAsia="仿宋_GB2312" w:cs="仿宋_GB2312"/>
          <w:color w:val="000000"/>
          <w:kern w:val="0"/>
          <w:sz w:val="32"/>
          <w:szCs w:val="32"/>
        </w:rPr>
        <w:t xml:space="preserve">  </w:t>
      </w:r>
      <w:r>
        <w:rPr>
          <w:rFonts w:hint="eastAsia" w:ascii="仿宋_GB2312" w:eastAsia="仿宋_GB2312" w:cs="宋体"/>
          <w:color w:val="000000"/>
          <w:kern w:val="0"/>
          <w:sz w:val="32"/>
          <w:szCs w:val="32"/>
        </w:rPr>
        <w:t>建设单位与施工单位在合同中应约定结算方式。一般情况下，合同价款内项目结算方式参照黑龙江省和哈尔滨市现行结算文件执行，招投标项目结算方式为固定单价结算。</w:t>
      </w:r>
    </w:p>
    <w:p>
      <w:pPr>
        <w:pStyle w:val="8"/>
        <w:widowControl w:val="0"/>
        <w:spacing w:before="0" w:beforeAutospacing="0" w:after="0" w:afterAutospacing="0" w:line="560" w:lineRule="exact"/>
        <w:ind w:firstLine="632" w:firstLineChars="200"/>
        <w:jc w:val="both"/>
        <w:rPr>
          <w:rFonts w:hint="eastAsia" w:ascii="仿宋_GB2312" w:hAnsi="Times New Roman" w:eastAsia="仿宋_GB2312"/>
          <w:color w:val="000000"/>
          <w:sz w:val="32"/>
          <w:szCs w:val="32"/>
        </w:rPr>
      </w:pPr>
      <w:r>
        <w:rPr>
          <w:rFonts w:hint="eastAsia" w:ascii="黑体" w:hAnsi="黑体" w:eastAsia="黑体" w:cs="仿宋_GB2312"/>
          <w:color w:val="000000"/>
          <w:sz w:val="32"/>
          <w:szCs w:val="32"/>
        </w:rPr>
        <w:t>第十九条</w:t>
      </w:r>
      <w:r>
        <w:rPr>
          <w:rFonts w:hint="eastAsia" w:ascii="仿宋_GB2312" w:hAnsi="Times New Roman" w:eastAsia="仿宋_GB2312"/>
          <w:color w:val="000000"/>
          <w:sz w:val="32"/>
          <w:szCs w:val="32"/>
        </w:rPr>
        <w:t xml:space="preserve">  对于招标工程量清单项目，当工程量增加15%以上且综合单价偏高时，其增加部分的工程量的综合单价应按相应规范文件约定予以调整。</w:t>
      </w:r>
    </w:p>
    <w:p>
      <w:pPr>
        <w:spacing w:line="560" w:lineRule="exact"/>
        <w:ind w:firstLine="632" w:firstLineChars="200"/>
        <w:rPr>
          <w:rFonts w:hint="eastAsia" w:ascii="仿宋_GB2312" w:hAnsi="仿宋_GB2312" w:eastAsia="仿宋_GB2312" w:cs="仿宋_GB2312"/>
          <w:color w:val="000000"/>
          <w:kern w:val="0"/>
          <w:sz w:val="32"/>
          <w:szCs w:val="32"/>
        </w:rPr>
      </w:pPr>
      <w:r>
        <w:rPr>
          <w:rFonts w:hint="eastAsia" w:ascii="黑体" w:hAnsi="黑体" w:eastAsia="黑体" w:cs="仿宋_GB2312"/>
          <w:color w:val="000000"/>
          <w:kern w:val="0"/>
          <w:sz w:val="32"/>
          <w:szCs w:val="32"/>
        </w:rPr>
        <w:t>第二十条</w:t>
      </w:r>
      <w:r>
        <w:rPr>
          <w:rFonts w:hint="eastAsia" w:ascii="仿宋_GB2312" w:hAnsi="仿宋_GB2312" w:eastAsia="仿宋_GB2312" w:cs="仿宋_GB2312"/>
          <w:color w:val="000000"/>
          <w:kern w:val="0"/>
          <w:sz w:val="32"/>
          <w:szCs w:val="32"/>
        </w:rPr>
        <w:t xml:space="preserve">  关于送审金额的要求</w:t>
      </w:r>
    </w:p>
    <w:p>
      <w:pPr>
        <w:spacing w:line="560" w:lineRule="exact"/>
        <w:ind w:firstLine="63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（一）预算送审金额不得超过发改、财政等部门的项目批复文件中对应建设内容投资金额。</w:t>
      </w:r>
    </w:p>
    <w:p>
      <w:pPr>
        <w:spacing w:line="560" w:lineRule="exact"/>
        <w:ind w:firstLine="63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原则上，建设工程项目送审金额不应超过中标金额（合同价）的10%。因发生项目变更、现场签证导致结算送审金额超过中标金额（合同价）10%的，需建设单位或主管部门在向市政府呈报申请评审文件中明确说明且市领导签批同意后送审。</w:t>
      </w:r>
    </w:p>
    <w:p>
      <w:pPr>
        <w:spacing w:line="560" w:lineRule="exact"/>
        <w:ind w:firstLine="63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建设单位应严格控制项目送审金额，不断提高送审预、结算质量。市评审中心应于每年7月10日、次年1月10日前将每半年对审核过的工程项目进行统计。500万元以内工程项目审减率高于20%（含）的和500万元以上的项目审减率高于15%（含）的项目情况。施工企业多次发生送审结算虚高行为的，整理上报市政府。</w:t>
      </w:r>
    </w:p>
    <w:p>
      <w:pPr>
        <w:spacing w:line="560" w:lineRule="exact"/>
        <w:ind w:firstLine="632" w:firstLineChars="200"/>
        <w:rPr>
          <w:rFonts w:hint="eastAsia" w:ascii="仿宋_GB2312" w:hAnsi="仿宋_GB2312" w:eastAsia="仿宋_GB2312" w:cs="仿宋_GB2312"/>
          <w:color w:val="000000"/>
          <w:kern w:val="0"/>
          <w:sz w:val="32"/>
          <w:szCs w:val="32"/>
        </w:rPr>
      </w:pPr>
      <w:r>
        <w:rPr>
          <w:rFonts w:hint="eastAsia" w:ascii="黑体" w:hAnsi="黑体" w:eastAsia="黑体" w:cs="仿宋_GB2312"/>
          <w:color w:val="000000"/>
          <w:kern w:val="0"/>
          <w:sz w:val="32"/>
          <w:szCs w:val="32"/>
        </w:rPr>
        <w:t>第二十一条</w:t>
      </w:r>
      <w:r>
        <w:rPr>
          <w:rFonts w:hint="eastAsia" w:ascii="仿宋_GB2312" w:hAnsi="仿宋_GB2312" w:eastAsia="仿宋_GB2312" w:cs="仿宋_GB2312"/>
          <w:color w:val="000000"/>
          <w:kern w:val="0"/>
          <w:sz w:val="32"/>
          <w:szCs w:val="32"/>
        </w:rPr>
        <w:t xml:space="preserve">  不满足评审条件不予受理的项目：</w:t>
      </w:r>
    </w:p>
    <w:p>
      <w:pPr>
        <w:adjustRightInd w:val="0"/>
        <w:snapToGrid w:val="0"/>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（一）政府未批准、资金未落实的项目。</w:t>
      </w:r>
    </w:p>
    <w:p>
      <w:pPr>
        <w:adjustRightInd w:val="0"/>
        <w:snapToGrid w:val="0"/>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（二）采用特殊工艺，未经论证和市政府批准同意的。</w:t>
      </w:r>
    </w:p>
    <w:p>
      <w:pPr>
        <w:adjustRightInd w:val="0"/>
        <w:snapToGrid w:val="0"/>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（三）艺术品、文物等，行业无审核标准的。</w:t>
      </w:r>
    </w:p>
    <w:p>
      <w:pPr>
        <w:spacing w:line="560" w:lineRule="exact"/>
        <w:ind w:firstLine="63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（四）项目</w:t>
      </w:r>
      <w:r>
        <w:rPr>
          <w:rFonts w:hint="eastAsia" w:ascii="仿宋_GB2312" w:hAnsi="仿宋_GB2312" w:eastAsia="仿宋_GB2312" w:cs="仿宋_GB2312"/>
          <w:color w:val="000000"/>
          <w:kern w:val="0"/>
          <w:sz w:val="32"/>
          <w:szCs w:val="32"/>
        </w:rPr>
        <w:t>合同中，双方约定的内容权责不清晰、不严谨，存在争议且双方无法协商签订补充协议的。</w:t>
      </w:r>
    </w:p>
    <w:p>
      <w:pPr>
        <w:adjustRightInd w:val="0"/>
        <w:snapToGrid w:val="0"/>
        <w:spacing w:line="560" w:lineRule="exact"/>
        <w:ind w:firstLine="63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（五）施工合同中存在条款违反相关法律法规的。</w:t>
      </w:r>
    </w:p>
    <w:p>
      <w:pPr>
        <w:adjustRightInd w:val="0"/>
        <w:snapToGrid w:val="0"/>
        <w:spacing w:line="560" w:lineRule="exact"/>
        <w:ind w:firstLine="632"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（六）自行修改评审后工程量清单及招标控制价的。</w:t>
      </w:r>
    </w:p>
    <w:p>
      <w:pPr>
        <w:adjustRightInd w:val="0"/>
        <w:snapToGrid w:val="0"/>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（七）</w:t>
      </w:r>
      <w:r>
        <w:rPr>
          <w:rFonts w:hint="eastAsia" w:ascii="仿宋_GB2312" w:hAnsi="仿宋_GB2312" w:eastAsia="仿宋_GB2312" w:cs="仿宋_GB2312"/>
          <w:color w:val="000000"/>
          <w:sz w:val="32"/>
          <w:szCs w:val="32"/>
        </w:rPr>
        <w:t>非财政投资的建设项目。</w:t>
      </w:r>
    </w:p>
    <w:p>
      <w:pPr>
        <w:adjustRightInd w:val="0"/>
        <w:snapToGrid w:val="0"/>
        <w:spacing w:line="560" w:lineRule="exact"/>
        <w:ind w:firstLine="632" w:firstLineChars="200"/>
        <w:rPr>
          <w:rFonts w:hint="eastAsia" w:ascii="仿宋_GB2312" w:hAnsi="仿宋_GB2312" w:eastAsia="仿宋_GB2312" w:cs="仿宋_GB2312"/>
          <w:bCs/>
          <w:color w:val="000000"/>
          <w:kern w:val="0"/>
          <w:sz w:val="32"/>
          <w:szCs w:val="32"/>
        </w:rPr>
      </w:pPr>
      <w:r>
        <w:rPr>
          <w:rFonts w:hint="eastAsia" w:ascii="黑体" w:hAnsi="黑体" w:eastAsia="黑体" w:cs="仿宋_GB2312"/>
          <w:color w:val="000000"/>
          <w:kern w:val="0"/>
          <w:sz w:val="32"/>
          <w:szCs w:val="32"/>
        </w:rPr>
        <w:t>第二十二条</w:t>
      </w:r>
      <w:r>
        <w:rPr>
          <w:rFonts w:hint="eastAsia" w:ascii="仿宋_GB2312" w:hAnsi="仿宋_GB2312" w:eastAsia="仿宋_GB2312" w:cs="仿宋_GB2312"/>
          <w:bCs/>
          <w:color w:val="000000"/>
          <w:kern w:val="0"/>
          <w:sz w:val="32"/>
          <w:szCs w:val="32"/>
        </w:rPr>
        <w:t xml:space="preserve">  费率标准及材料价格</w:t>
      </w:r>
    </w:p>
    <w:p>
      <w:pPr>
        <w:spacing w:line="560" w:lineRule="exact"/>
        <w:ind w:firstLine="632" w:firstLineChars="200"/>
        <w:rPr>
          <w:rFonts w:hint="eastAsia" w:ascii="仿宋_GB2312" w:hAnsi="宋体" w:eastAsia="仿宋_GB2312" w:cs="宋体"/>
          <w:color w:val="auto"/>
          <w:sz w:val="28"/>
          <w:szCs w:val="28"/>
        </w:rPr>
      </w:pPr>
      <w:r>
        <w:rPr>
          <w:rFonts w:hint="eastAsia" w:ascii="仿宋_GB2312" w:eastAsia="仿宋_GB2312" w:cs="宋体"/>
          <w:color w:val="auto"/>
          <w:kern w:val="0"/>
          <w:sz w:val="32"/>
          <w:szCs w:val="32"/>
        </w:rPr>
        <w:t>（一）工程管理费、利润费率均执行中限。</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s="宋体"/>
          <w:color w:val="000000"/>
          <w:kern w:val="0"/>
          <w:sz w:val="32"/>
          <w:szCs w:val="32"/>
        </w:rPr>
        <w:t>（二）</w:t>
      </w:r>
      <w:r>
        <w:rPr>
          <w:rFonts w:hint="eastAsia" w:ascii="仿宋_GB2312" w:hAnsi="仿宋_GB2312" w:eastAsia="仿宋_GB2312" w:cs="仿宋_GB2312"/>
          <w:color w:val="000000"/>
          <w:sz w:val="32"/>
          <w:szCs w:val="32"/>
        </w:rPr>
        <w:t>人工费单价依据省计价依据及省结算文件中人工费执行标准，结算时人工单价按照双方签订的合同约定执行，原则上不得高于施工期省结算文件规定。</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（三）依据</w:t>
      </w:r>
      <w:r>
        <w:rPr>
          <w:rFonts w:hint="eastAsia" w:ascii="仿宋_GB2312" w:hAnsi="仿宋_GB2312" w:eastAsia="仿宋_GB2312" w:cs="仿宋_GB2312"/>
          <w:color w:val="000000"/>
          <w:sz w:val="32"/>
          <w:szCs w:val="32"/>
        </w:rPr>
        <w:t>中华人民共和国国家标准《建设工程工程量清单计价规范》，制定我市</w:t>
      </w:r>
      <w:r>
        <w:rPr>
          <w:rFonts w:hint="eastAsia" w:ascii="仿宋_GB2312" w:eastAsia="仿宋_GB2312"/>
          <w:color w:val="000000"/>
          <w:sz w:val="32"/>
          <w:szCs w:val="32"/>
        </w:rPr>
        <w:t>暂列金计取办法：概预算（招标控制价）评审结论500万以下项目暂列金计取范围0-10%;500万元-1000万元暂列金计取范围为0-5%；1000万元以上项目暂列金计取范围为0-3%。</w:t>
      </w:r>
    </w:p>
    <w:p>
      <w:pPr>
        <w:pStyle w:val="8"/>
        <w:widowControl w:val="0"/>
        <w:spacing w:before="0" w:beforeAutospacing="0" w:after="0" w:afterAutospacing="0" w:line="560" w:lineRule="exact"/>
        <w:ind w:firstLine="632"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（四）材料价格执行标准：沙、石等地产材料价格按照尚志市财政评审中心询价的工程所在地标准执行。其他材料依据《哈尔滨市工程造价信息》及市场价执行。</w:t>
      </w:r>
    </w:p>
    <w:p>
      <w:pPr>
        <w:adjustRightInd w:val="0"/>
        <w:snapToGrid w:val="0"/>
        <w:spacing w:line="560" w:lineRule="exact"/>
        <w:ind w:firstLine="63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工程中涉及设备耗材价格，建设单位需报送有相关资质第三方的评估论证意见，提供不少于三家报价明细并说明具体参数、规格、品牌，评审机构根据设备具体参数、规格、品牌进行不少于二家市场价格询价并对建设单位报价进行复核，出具平均价格的复核报告供建设单位参考使用。</w:t>
      </w:r>
    </w:p>
    <w:p>
      <w:pPr>
        <w:pStyle w:val="8"/>
        <w:widowControl w:val="0"/>
        <w:spacing w:before="0" w:beforeAutospacing="0" w:after="0" w:afterAutospacing="0" w:line="560" w:lineRule="exact"/>
        <w:ind w:firstLine="632" w:firstLineChars="200"/>
        <w:jc w:val="both"/>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（六）工程建设服务类费用合理性评审标准:</w:t>
      </w:r>
    </w:p>
    <w:p>
      <w:pPr>
        <w:pStyle w:val="8"/>
        <w:widowControl w:val="0"/>
        <w:spacing w:before="0" w:beforeAutospacing="0" w:after="0" w:afterAutospacing="0" w:line="560" w:lineRule="exact"/>
        <w:ind w:firstLine="632" w:firstLineChars="200"/>
        <w:jc w:val="both"/>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工程建设服务类费用</w:t>
      </w:r>
      <w:r>
        <w:rPr>
          <w:rFonts w:hint="eastAsia" w:ascii="仿宋_GB2312" w:hAnsi="Times New Roman" w:eastAsia="仿宋_GB2312"/>
          <w:color w:val="auto"/>
          <w:sz w:val="32"/>
          <w:szCs w:val="32"/>
        </w:rPr>
        <w:t>预算审核参照</w:t>
      </w:r>
      <w:r>
        <w:rPr>
          <w:rFonts w:hint="eastAsia" w:ascii="仿宋_GB2312" w:hAnsi="Times New Roman" w:eastAsia="仿宋_GB2312"/>
          <w:color w:val="auto"/>
          <w:sz w:val="32"/>
          <w:szCs w:val="32"/>
          <w:lang w:val="en-US" w:eastAsia="zh-CN"/>
        </w:rPr>
        <w:t>省市国家、省市相关收费</w:t>
      </w:r>
      <w:r>
        <w:rPr>
          <w:rFonts w:hint="eastAsia" w:ascii="仿宋_GB2312" w:hAnsi="Times New Roman" w:eastAsia="仿宋_GB2312"/>
          <w:color w:val="auto"/>
          <w:sz w:val="32"/>
          <w:szCs w:val="32"/>
        </w:rPr>
        <w:t>标准的50%计算;结算审核时以</w:t>
      </w:r>
      <w:r>
        <w:rPr>
          <w:rFonts w:hint="eastAsia" w:ascii="仿宋_GB2312" w:hAnsi="Times New Roman" w:eastAsia="仿宋_GB2312"/>
          <w:color w:val="auto"/>
          <w:sz w:val="32"/>
          <w:szCs w:val="32"/>
          <w:lang w:val="en-US" w:eastAsia="zh-CN"/>
        </w:rPr>
        <w:t>合同、费用票据</w:t>
      </w:r>
      <w:r>
        <w:rPr>
          <w:rFonts w:hint="eastAsia" w:ascii="仿宋_GB2312" w:hAnsi="Times New Roman" w:eastAsia="仿宋_GB2312"/>
          <w:color w:val="auto"/>
          <w:sz w:val="32"/>
          <w:szCs w:val="32"/>
        </w:rPr>
        <w:t>为依据，据实结算。原则不得超出预算，如超出预算，建设单位需报市政府审批增加。</w:t>
      </w:r>
    </w:p>
    <w:p>
      <w:pPr>
        <w:spacing w:before="579" w:beforeLines="100" w:after="579" w:afterLines="100" w:line="560" w:lineRule="exact"/>
        <w:jc w:val="center"/>
        <w:rPr>
          <w:rFonts w:hint="eastAsia" w:ascii="黑体" w:hAnsi="黑体" w:eastAsia="黑体" w:cs="仿宋_GB2312"/>
          <w:color w:val="000000"/>
          <w:kern w:val="0"/>
          <w:sz w:val="32"/>
          <w:szCs w:val="32"/>
        </w:rPr>
      </w:pPr>
      <w:r>
        <w:rPr>
          <w:rFonts w:hint="eastAsia" w:ascii="黑体" w:hAnsi="黑体" w:eastAsia="黑体" w:cs="仿宋_GB2312"/>
          <w:color w:val="000000"/>
          <w:kern w:val="0"/>
          <w:sz w:val="32"/>
          <w:szCs w:val="32"/>
        </w:rPr>
        <w:t>第六章  评审档案管理</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kern w:val="0"/>
          <w:sz w:val="32"/>
          <w:szCs w:val="32"/>
        </w:rPr>
        <w:t>第二十三条</w:t>
      </w:r>
      <w:r>
        <w:rPr>
          <w:rFonts w:hint="eastAsia" w:ascii="仿宋_GB2312" w:hAnsi="仿宋" w:eastAsia="仿宋_GB2312" w:cs="仿宋"/>
          <w:color w:val="000000"/>
          <w:sz w:val="32"/>
          <w:szCs w:val="32"/>
        </w:rPr>
        <w:t xml:space="preserve">  </w:t>
      </w:r>
      <w:r>
        <w:rPr>
          <w:rFonts w:hint="eastAsia" w:ascii="仿宋_GB2312" w:hAnsi="仿宋_GB2312" w:eastAsia="仿宋_GB2312" w:cs="仿宋_GB2312"/>
          <w:color w:val="000000"/>
          <w:sz w:val="32"/>
          <w:szCs w:val="32"/>
        </w:rPr>
        <w:t>评审中心应加强评审档案管理，安排专人对纸质评审资料进行收集、整理、装订、归档及各种电子数据信息、资料的整理、汇总、存储，保证评审档案的真实、完整、安全、可用。</w:t>
      </w:r>
    </w:p>
    <w:p>
      <w:pPr>
        <w:spacing w:line="560" w:lineRule="exact"/>
        <w:ind w:firstLine="632" w:firstLineChars="200"/>
        <w:rPr>
          <w:rFonts w:hint="eastAsia" w:ascii="仿宋_GB2312" w:hAnsi="仿宋_GB2312" w:eastAsia="仿宋_GB2312" w:cs="仿宋_GB2312"/>
          <w:color w:val="000000"/>
          <w:sz w:val="32"/>
          <w:szCs w:val="32"/>
        </w:rPr>
      </w:pPr>
      <w:r>
        <w:rPr>
          <w:rFonts w:hint="eastAsia" w:ascii="黑体" w:hAnsi="黑体" w:eastAsia="黑体" w:cs="仿宋_GB2312"/>
          <w:color w:val="000000"/>
          <w:kern w:val="0"/>
          <w:sz w:val="32"/>
          <w:szCs w:val="32"/>
        </w:rPr>
        <w:t>第二十四条</w:t>
      </w:r>
      <w:r>
        <w:rPr>
          <w:rFonts w:hint="eastAsia" w:ascii="仿宋_GB2312" w:hAnsi="仿宋_GB2312" w:eastAsia="仿宋_GB2312" w:cs="仿宋_GB2312"/>
          <w:color w:val="000000"/>
          <w:sz w:val="32"/>
          <w:szCs w:val="32"/>
        </w:rPr>
        <w:t xml:space="preserve">  评审档案原则上不外借，确因工作需要借阅档案时，应严格履行借阅手续。</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s="仿宋_GB2312"/>
          <w:color w:val="000000"/>
          <w:kern w:val="0"/>
          <w:sz w:val="32"/>
          <w:szCs w:val="32"/>
        </w:rPr>
        <w:t>第二十五条</w:t>
      </w:r>
      <w:r>
        <w:rPr>
          <w:rFonts w:hint="eastAsia" w:ascii="仿宋_GB2312" w:eastAsia="仿宋_GB2312"/>
          <w:color w:val="000000"/>
          <w:sz w:val="32"/>
          <w:szCs w:val="32"/>
        </w:rPr>
        <w:t xml:space="preserve">  评审档案的保存期限为10年。市评审中心的保存期限一般为5年。5年后，移交市档案局。</w:t>
      </w:r>
    </w:p>
    <w:p>
      <w:pPr>
        <w:spacing w:before="579" w:beforeLines="100" w:after="579" w:afterLines="100" w:line="560" w:lineRule="exact"/>
        <w:jc w:val="center"/>
        <w:rPr>
          <w:rFonts w:hint="eastAsia" w:ascii="黑体" w:hAnsi="黑体" w:eastAsia="黑体" w:cs="仿宋_GB2312"/>
          <w:color w:val="000000"/>
          <w:kern w:val="0"/>
          <w:sz w:val="32"/>
          <w:szCs w:val="32"/>
        </w:rPr>
      </w:pPr>
      <w:r>
        <w:rPr>
          <w:rFonts w:hint="eastAsia" w:ascii="黑体" w:hAnsi="黑体" w:eastAsia="黑体" w:cs="仿宋_GB2312"/>
          <w:color w:val="000000"/>
          <w:kern w:val="0"/>
          <w:sz w:val="32"/>
          <w:szCs w:val="32"/>
        </w:rPr>
        <w:t>第七章  评审机构的管理</w:t>
      </w:r>
    </w:p>
    <w:p>
      <w:pPr>
        <w:spacing w:line="560" w:lineRule="exact"/>
        <w:ind w:firstLine="632" w:firstLineChars="200"/>
        <w:rPr>
          <w:rFonts w:hint="eastAsia" w:ascii="仿宋_GB2312" w:hAnsi="ˎ̥" w:eastAsia="仿宋_GB2312" w:cs="宋体"/>
          <w:color w:val="000000"/>
          <w:kern w:val="0"/>
          <w:sz w:val="32"/>
          <w:szCs w:val="32"/>
        </w:rPr>
      </w:pPr>
      <w:r>
        <w:rPr>
          <w:rFonts w:hint="eastAsia" w:ascii="黑体" w:hAnsi="黑体" w:eastAsia="黑体" w:cs="仿宋_GB2312"/>
          <w:color w:val="000000"/>
          <w:kern w:val="0"/>
          <w:sz w:val="32"/>
          <w:szCs w:val="32"/>
        </w:rPr>
        <w:t>第二十六条</w:t>
      </w:r>
      <w:r>
        <w:rPr>
          <w:rFonts w:hint="eastAsia" w:ascii="仿宋_GB2312" w:eastAsia="仿宋_GB2312"/>
          <w:color w:val="000000"/>
          <w:sz w:val="32"/>
          <w:szCs w:val="32"/>
        </w:rPr>
        <w:t xml:space="preserve"> 财政投资评审的具体业务工作由评审中心委托有资质的社会中介机构（简称“评审机构”）开展。我市评审机构按照《中华人民共和国政府采购法》及相关规定，通过公开招标方式确定，并录入尚志市财政投资评审机构库。</w:t>
      </w:r>
    </w:p>
    <w:p>
      <w:pPr>
        <w:spacing w:line="560" w:lineRule="exact"/>
        <w:ind w:firstLine="632" w:firstLineChars="200"/>
        <w:rPr>
          <w:rFonts w:hint="eastAsia" w:ascii="仿宋_GB2312" w:hAnsi="宋体" w:eastAsia="仿宋_GB2312" w:cs="宋体"/>
          <w:b/>
          <w:bCs/>
          <w:color w:val="000000"/>
          <w:sz w:val="32"/>
          <w:szCs w:val="32"/>
        </w:rPr>
      </w:pPr>
      <w:r>
        <w:rPr>
          <w:rFonts w:hint="eastAsia" w:ascii="黑体" w:hAnsi="黑体" w:eastAsia="黑体" w:cs="仿宋_GB2312"/>
          <w:color w:val="000000"/>
          <w:kern w:val="0"/>
          <w:sz w:val="32"/>
          <w:szCs w:val="32"/>
        </w:rPr>
        <w:t>第二十七条</w:t>
      </w:r>
      <w:r>
        <w:rPr>
          <w:rFonts w:hint="eastAsia" w:ascii="仿宋_GB2312" w:eastAsia="仿宋_GB2312"/>
          <w:color w:val="000000"/>
          <w:sz w:val="32"/>
          <w:szCs w:val="32"/>
        </w:rPr>
        <w:t xml:space="preserve">  评审机构在实施的评审程序后，应综合分析，形成评审结论，出具审核报告；应当遵循合法性、公正性、客观性的原则开展工作，并对评审结论的真实性、完整性负责。</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s="仿宋_GB2312"/>
          <w:color w:val="000000"/>
          <w:kern w:val="0"/>
          <w:sz w:val="32"/>
          <w:szCs w:val="32"/>
        </w:rPr>
        <w:t>第二十八条</w:t>
      </w:r>
      <w:r>
        <w:rPr>
          <w:rFonts w:hint="eastAsia" w:ascii="仿宋_GB2312" w:eastAsia="仿宋_GB2312"/>
          <w:color w:val="000000"/>
          <w:sz w:val="32"/>
          <w:szCs w:val="32"/>
        </w:rPr>
        <w:t xml:space="preserve">  评审机构未经评审中心允许，不得与项目建设单位或主管部门、施工单位会面。</w:t>
      </w:r>
    </w:p>
    <w:p>
      <w:pPr>
        <w:spacing w:line="560" w:lineRule="exact"/>
        <w:ind w:firstLine="632" w:firstLineChars="200"/>
        <w:rPr>
          <w:rFonts w:hint="eastAsia" w:ascii="仿宋_GB2312" w:hAnsi="ˎ̥" w:eastAsia="仿宋_GB2312" w:cs="宋体"/>
          <w:color w:val="000000"/>
          <w:kern w:val="0"/>
          <w:sz w:val="32"/>
          <w:szCs w:val="32"/>
        </w:rPr>
      </w:pPr>
      <w:r>
        <w:rPr>
          <w:rFonts w:hint="eastAsia" w:ascii="黑体" w:hAnsi="黑体" w:eastAsia="黑体" w:cs="仿宋_GB2312"/>
          <w:color w:val="000000"/>
          <w:kern w:val="0"/>
          <w:sz w:val="32"/>
          <w:szCs w:val="32"/>
        </w:rPr>
        <w:t>第二十九条</w:t>
      </w:r>
      <w:r>
        <w:rPr>
          <w:rFonts w:hint="eastAsia" w:ascii="仿宋_GB2312" w:eastAsia="仿宋_GB2312"/>
          <w:color w:val="000000"/>
          <w:sz w:val="32"/>
          <w:szCs w:val="32"/>
        </w:rPr>
        <w:t xml:space="preserve">  评审中心</w:t>
      </w:r>
      <w:r>
        <w:rPr>
          <w:rFonts w:hint="eastAsia" w:ascii="仿宋_GB2312" w:hAnsi="ˎ̥" w:eastAsia="仿宋_GB2312" w:cs="宋体"/>
          <w:color w:val="000000"/>
          <w:kern w:val="0"/>
          <w:sz w:val="32"/>
          <w:szCs w:val="32"/>
        </w:rPr>
        <w:t>负责对入库的评审机构进行考核、评价和动态管理。</w:t>
      </w:r>
    </w:p>
    <w:p>
      <w:pPr>
        <w:spacing w:line="560" w:lineRule="exact"/>
        <w:ind w:firstLine="632" w:firstLineChars="200"/>
        <w:rPr>
          <w:rFonts w:hint="eastAsia" w:ascii="仿宋_GB2312" w:hAnsi="ˎ̥" w:eastAsia="仿宋_GB2312" w:cs="宋体"/>
          <w:color w:val="000000"/>
          <w:kern w:val="0"/>
          <w:sz w:val="32"/>
          <w:szCs w:val="32"/>
        </w:rPr>
      </w:pPr>
      <w:r>
        <w:rPr>
          <w:rFonts w:hint="eastAsia" w:ascii="黑体" w:hAnsi="黑体" w:eastAsia="黑体" w:cs="仿宋_GB2312"/>
          <w:color w:val="000000"/>
          <w:kern w:val="0"/>
          <w:sz w:val="32"/>
          <w:szCs w:val="32"/>
        </w:rPr>
        <w:t>第三十条</w:t>
      </w:r>
      <w:r>
        <w:rPr>
          <w:rFonts w:hint="eastAsia" w:ascii="仿宋_GB2312" w:eastAsia="仿宋_GB2312"/>
          <w:color w:val="000000"/>
          <w:sz w:val="32"/>
          <w:szCs w:val="32"/>
        </w:rPr>
        <w:t xml:space="preserve">  </w:t>
      </w:r>
      <w:r>
        <w:rPr>
          <w:rFonts w:hint="eastAsia" w:ascii="仿宋_GB2312" w:hAnsi="ˎ̥" w:eastAsia="仿宋_GB2312" w:cs="宋体"/>
          <w:color w:val="000000"/>
          <w:kern w:val="0"/>
          <w:sz w:val="32"/>
          <w:szCs w:val="32"/>
        </w:rPr>
        <w:t>财政投资评审机构库内的评审机构有下列情形之一的，应当从库中予以除名。</w:t>
      </w:r>
    </w:p>
    <w:p>
      <w:pPr>
        <w:spacing w:line="560" w:lineRule="exact"/>
        <w:ind w:firstLine="632" w:firstLineChars="200"/>
        <w:rPr>
          <w:rFonts w:hint="eastAsia" w:ascii="仿宋_GB2312" w:hAnsi="ˎ̥" w:eastAsia="仿宋_GB2312" w:cs="宋体"/>
          <w:color w:val="000000"/>
          <w:kern w:val="0"/>
          <w:sz w:val="32"/>
          <w:szCs w:val="32"/>
        </w:rPr>
      </w:pPr>
      <w:r>
        <w:rPr>
          <w:rFonts w:hint="eastAsia" w:ascii="仿宋_GB2312" w:eastAsia="仿宋_GB2312"/>
          <w:color w:val="000000"/>
          <w:sz w:val="32"/>
          <w:szCs w:val="32"/>
        </w:rPr>
        <w:t>（一）</w:t>
      </w:r>
      <w:r>
        <w:rPr>
          <w:rFonts w:hint="eastAsia" w:ascii="仿宋_GB2312" w:hAnsi="ˎ̥" w:eastAsia="仿宋_GB2312" w:cs="宋体"/>
          <w:color w:val="000000"/>
          <w:kern w:val="0"/>
          <w:sz w:val="32"/>
          <w:szCs w:val="32"/>
        </w:rPr>
        <w:t>拒不服从评审中心日常管理的；</w:t>
      </w:r>
    </w:p>
    <w:p>
      <w:pPr>
        <w:spacing w:line="560" w:lineRule="exact"/>
        <w:ind w:firstLine="632" w:firstLineChars="200"/>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（二）无正当理由，未按规定时限完成评审任务的；</w:t>
      </w:r>
    </w:p>
    <w:p>
      <w:pPr>
        <w:spacing w:line="560" w:lineRule="exact"/>
        <w:ind w:firstLine="632" w:firstLineChars="200"/>
        <w:rPr>
          <w:rFonts w:hint="eastAsia" w:ascii="仿宋_GB2312" w:hAnsi="ˎ̥" w:eastAsia="仿宋_GB2312" w:cs="宋体"/>
          <w:color w:val="000000"/>
          <w:kern w:val="0"/>
          <w:sz w:val="32"/>
          <w:szCs w:val="32"/>
        </w:rPr>
      </w:pPr>
      <w:r>
        <w:rPr>
          <w:rFonts w:hint="eastAsia" w:ascii="仿宋_GB2312" w:eastAsia="仿宋_GB2312"/>
          <w:color w:val="000000"/>
          <w:sz w:val="32"/>
          <w:szCs w:val="32"/>
        </w:rPr>
        <w:t>（三）</w:t>
      </w:r>
      <w:r>
        <w:rPr>
          <w:rFonts w:hint="eastAsia" w:ascii="仿宋_GB2312" w:hAnsi="ˎ̥" w:eastAsia="仿宋_GB2312" w:cs="宋体"/>
          <w:color w:val="000000"/>
          <w:kern w:val="0"/>
          <w:sz w:val="32"/>
          <w:szCs w:val="32"/>
        </w:rPr>
        <w:t>在服务过程中存在重大过失的。</w:t>
      </w:r>
    </w:p>
    <w:p>
      <w:pPr>
        <w:pStyle w:val="8"/>
        <w:widowControl w:val="0"/>
        <w:spacing w:before="579" w:beforeLines="100" w:beforeAutospacing="0" w:after="579" w:afterLines="100" w:afterAutospacing="0" w:line="560" w:lineRule="exact"/>
        <w:jc w:val="center"/>
        <w:rPr>
          <w:rFonts w:hint="eastAsia" w:ascii="黑体" w:hAnsi="黑体" w:eastAsia="黑体" w:cs="仿宋_GB2312"/>
          <w:color w:val="000000"/>
          <w:sz w:val="32"/>
          <w:szCs w:val="32"/>
        </w:rPr>
      </w:pPr>
      <w:r>
        <w:rPr>
          <w:rFonts w:hint="eastAsia" w:ascii="黑体" w:hAnsi="黑体" w:eastAsia="黑体" w:cs="仿宋_GB2312"/>
          <w:color w:val="000000"/>
          <w:sz w:val="32"/>
          <w:szCs w:val="32"/>
        </w:rPr>
        <w:t>第八章  附  则</w:t>
      </w:r>
    </w:p>
    <w:p>
      <w:pPr>
        <w:pStyle w:val="8"/>
        <w:widowControl w:val="0"/>
        <w:spacing w:before="0" w:beforeAutospacing="0" w:after="0" w:afterAutospacing="0" w:line="560" w:lineRule="exact"/>
        <w:ind w:firstLine="600" w:firstLineChars="200"/>
        <w:jc w:val="both"/>
        <w:rPr>
          <w:rFonts w:hint="eastAsia" w:ascii="仿宋_GB2312" w:eastAsia="仿宋_GB2312"/>
          <w:color w:val="000000"/>
          <w:sz w:val="32"/>
          <w:szCs w:val="32"/>
        </w:rPr>
      </w:pPr>
      <w:r>
        <w:rPr>
          <w:rFonts w:hint="eastAsia" w:ascii="黑体" w:hAnsi="黑体" w:eastAsia="黑体" w:cs="仿宋_GB2312"/>
          <w:color w:val="000000"/>
          <w:spacing w:val="-8"/>
          <w:sz w:val="32"/>
          <w:szCs w:val="32"/>
        </w:rPr>
        <w:t>第三十一条</w:t>
      </w:r>
      <w:r>
        <w:rPr>
          <w:rFonts w:hint="eastAsia" w:ascii="仿宋_GB2312" w:eastAsia="仿宋_GB2312"/>
          <w:color w:val="000000"/>
          <w:spacing w:val="-8"/>
          <w:sz w:val="32"/>
          <w:szCs w:val="32"/>
        </w:rPr>
        <w:t xml:space="preserve">  </w:t>
      </w:r>
      <w:r>
        <w:rPr>
          <w:rFonts w:hint="eastAsia" w:ascii="仿宋_GB2312" w:eastAsia="仿宋_GB2312"/>
          <w:color w:val="000000"/>
          <w:sz w:val="32"/>
          <w:szCs w:val="32"/>
        </w:rPr>
        <w:t xml:space="preserve">  本实施细则自  年    月    日起执行。</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pacing w:val="-8"/>
          <w:sz w:val="32"/>
          <w:szCs w:val="32"/>
        </w:rPr>
      </w:pPr>
      <w:r>
        <w:rPr>
          <w:rFonts w:hint="eastAsia" w:ascii="黑体" w:hAnsi="黑体" w:eastAsia="黑体" w:cs="仿宋_GB2312"/>
          <w:color w:val="000000"/>
          <w:sz w:val="32"/>
          <w:szCs w:val="32"/>
        </w:rPr>
        <w:t>第三十</w:t>
      </w:r>
      <w:r>
        <w:rPr>
          <w:rFonts w:hint="eastAsia" w:ascii="黑体" w:hAnsi="黑体" w:eastAsia="黑体" w:cs="仿宋_GB2312"/>
          <w:color w:val="000000"/>
          <w:sz w:val="32"/>
          <w:szCs w:val="32"/>
          <w:lang w:val="en-US" w:eastAsia="zh-CN"/>
        </w:rPr>
        <w:t>二</w:t>
      </w:r>
      <w:r>
        <w:rPr>
          <w:rFonts w:hint="eastAsia" w:ascii="黑体" w:hAnsi="黑体" w:eastAsia="黑体" w:cs="仿宋_GB2312"/>
          <w:color w:val="000000"/>
          <w:sz w:val="32"/>
          <w:szCs w:val="32"/>
        </w:rPr>
        <w:t>条</w:t>
      </w:r>
      <w:r>
        <w:rPr>
          <w:rFonts w:hint="eastAsia" w:ascii="仿宋_GB2312" w:eastAsia="仿宋_GB2312"/>
          <w:color w:val="000000"/>
          <w:sz w:val="32"/>
          <w:szCs w:val="32"/>
        </w:rPr>
        <w:t xml:space="preserve"> 依据</w:t>
      </w:r>
      <w:r>
        <w:rPr>
          <w:rFonts w:hint="eastAsia" w:ascii="仿宋_GB2312" w:eastAsia="仿宋_GB2312"/>
          <w:color w:val="000000"/>
          <w:spacing w:val="-8"/>
          <w:sz w:val="32"/>
          <w:szCs w:val="32"/>
        </w:rPr>
        <w:t>哈尔滨市《关于加强规范性文件管理的若干规定》第六条第一款规定，规范性文件应当规定有效期，一般不得超过5年，暂行、试行的不得超过2年，本实施细则试行期满之前应重新进行调整；</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黑体" w:hAnsi="黑体" w:eastAsia="黑体" w:cs="仿宋_GB2312"/>
          <w:color w:val="000000"/>
          <w:sz w:val="32"/>
          <w:szCs w:val="32"/>
        </w:rPr>
        <w:t>第三十</w:t>
      </w:r>
      <w:r>
        <w:rPr>
          <w:rFonts w:hint="eastAsia" w:ascii="黑体" w:hAnsi="黑体" w:eastAsia="黑体" w:cs="仿宋_GB2312"/>
          <w:color w:val="000000"/>
          <w:sz w:val="32"/>
          <w:szCs w:val="32"/>
          <w:lang w:val="en-US" w:eastAsia="zh-CN"/>
        </w:rPr>
        <w:t>三</w:t>
      </w:r>
      <w:r>
        <w:rPr>
          <w:rFonts w:hint="eastAsia" w:ascii="黑体" w:hAnsi="黑体" w:eastAsia="黑体" w:cs="仿宋_GB2312"/>
          <w:color w:val="000000"/>
          <w:sz w:val="32"/>
          <w:szCs w:val="32"/>
        </w:rPr>
        <w:t>条</w:t>
      </w:r>
      <w:r>
        <w:rPr>
          <w:rFonts w:hint="eastAsia" w:ascii="仿宋_GB2312" w:eastAsia="仿宋_GB2312"/>
          <w:color w:val="000000"/>
          <w:sz w:val="32"/>
          <w:szCs w:val="32"/>
        </w:rPr>
        <w:t xml:space="preserve">  本实施细则由尚志市财政局负责解释。</w:t>
      </w:r>
    </w:p>
    <w:p>
      <w:pPr>
        <w:pStyle w:val="8"/>
        <w:widowControl w:val="0"/>
        <w:spacing w:before="0" w:beforeAutospacing="0" w:after="0" w:afterAutospacing="0" w:line="560" w:lineRule="exact"/>
        <w:jc w:val="both"/>
        <w:rPr>
          <w:rFonts w:hint="eastAsia" w:ascii="仿宋_GB2312" w:eastAsia="仿宋_GB2312"/>
          <w:color w:val="000000"/>
          <w:sz w:val="32"/>
          <w:szCs w:val="32"/>
        </w:rPr>
      </w:pP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附件:1.评审项目资料清单及承诺</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 xml:space="preserve">     2.紧急项目预算（招标控制价）送审报告</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 xml:space="preserve">     3.</w:t>
      </w:r>
      <w:r>
        <w:rPr>
          <w:rFonts w:hint="eastAsia" w:ascii="仿宋_GB2312" w:hAnsi="Arial" w:eastAsia="仿宋_GB2312" w:cs="Arial"/>
          <w:color w:val="000000"/>
          <w:sz w:val="32"/>
          <w:szCs w:val="32"/>
        </w:rPr>
        <w:t>××</w:t>
      </w:r>
      <w:r>
        <w:rPr>
          <w:rFonts w:hint="eastAsia" w:ascii="仿宋_GB2312" w:eastAsia="仿宋_GB2312"/>
          <w:color w:val="000000"/>
          <w:sz w:val="32"/>
          <w:szCs w:val="32"/>
        </w:rPr>
        <w:t>项目补报资料汇总表</w:t>
      </w:r>
    </w:p>
    <w:p>
      <w:pPr>
        <w:pStyle w:val="8"/>
        <w:widowControl w:val="0"/>
        <w:spacing w:before="0" w:beforeAutospacing="0" w:after="0" w:afterAutospacing="0" w:line="560" w:lineRule="exact"/>
        <w:ind w:firstLine="632" w:firstLineChars="200"/>
        <w:jc w:val="both"/>
        <w:rPr>
          <w:rFonts w:hint="eastAsia" w:ascii="仿宋_GB2312" w:eastAsia="仿宋_GB2312"/>
          <w:color w:val="000000"/>
          <w:sz w:val="32"/>
          <w:szCs w:val="32"/>
        </w:rPr>
      </w:pPr>
      <w:r>
        <w:rPr>
          <w:rFonts w:hint="eastAsia" w:ascii="仿宋_GB2312" w:eastAsia="仿宋_GB2312"/>
          <w:color w:val="000000"/>
          <w:sz w:val="32"/>
          <w:szCs w:val="32"/>
        </w:rPr>
        <w:t xml:space="preserve">     4.项目评审定案表</w:t>
      </w: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spacing w:line="220" w:lineRule="atLeast"/>
        <w:rPr>
          <w:rFonts w:hint="eastAsia" w:ascii="黑体" w:hAnsi="黑体" w:eastAsia="黑体" w:cs="宋体"/>
          <w:bCs/>
          <w:color w:val="000000"/>
          <w:sz w:val="32"/>
          <w:szCs w:val="32"/>
        </w:rPr>
      </w:pPr>
      <w:r>
        <w:rPr>
          <w:rFonts w:hint="eastAsia" w:ascii="黑体" w:hAnsi="黑体" w:eastAsia="黑体" w:cs="宋体"/>
          <w:bCs/>
          <w:color w:val="000000"/>
          <w:sz w:val="32"/>
          <w:szCs w:val="32"/>
        </w:rPr>
        <w:t>附件1</w:t>
      </w:r>
    </w:p>
    <w:p>
      <w:pPr>
        <w:spacing w:line="220" w:lineRule="atLeast"/>
        <w:rPr>
          <w:rFonts w:ascii="黑体" w:hAnsi="黑体" w:eastAsia="黑体" w:cs="宋体"/>
          <w:bCs/>
          <w:color w:val="000000"/>
          <w:sz w:val="32"/>
          <w:szCs w:val="32"/>
        </w:rPr>
      </w:pPr>
    </w:p>
    <w:p>
      <w:pPr>
        <w:spacing w:line="640" w:lineRule="exact"/>
        <w:jc w:val="center"/>
        <w:rPr>
          <w:rFonts w:hint="eastAsia" w:ascii="方正小标宋简体" w:hAnsi="楷体" w:eastAsia="方正小标宋简体" w:cs="楷体"/>
          <w:bCs/>
          <w:color w:val="000000"/>
          <w:sz w:val="44"/>
          <w:szCs w:val="44"/>
        </w:rPr>
      </w:pPr>
      <w:r>
        <w:rPr>
          <w:rFonts w:hint="eastAsia" w:ascii="方正小标宋简体" w:hAnsi="楷体" w:eastAsia="方正小标宋简体" w:cs="楷体"/>
          <w:bCs/>
          <w:color w:val="000000"/>
          <w:sz w:val="44"/>
          <w:szCs w:val="44"/>
        </w:rPr>
        <w:t>评审项目资料清单及承诺</w:t>
      </w:r>
    </w:p>
    <w:p>
      <w:pPr>
        <w:spacing w:before="100" w:beforeAutospacing="1" w:after="100" w:afterAutospacing="1" w:line="320" w:lineRule="exact"/>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p>
    <w:p>
      <w:pPr>
        <w:spacing w:before="100" w:beforeAutospacing="1" w:after="100" w:afterAutospacing="1" w:line="320" w:lineRule="exact"/>
        <w:rPr>
          <w:rFonts w:ascii="宋体" w:hAnsi="宋体"/>
          <w:color w:val="000000"/>
          <w:sz w:val="24"/>
        </w:rPr>
      </w:pPr>
      <w:r>
        <w:rPr>
          <w:rFonts w:hint="eastAsia" w:ascii="宋体" w:hAnsi="宋体" w:cs="宋体"/>
          <w:color w:val="000000"/>
          <w:sz w:val="24"/>
        </w:rPr>
        <w:t xml:space="preserve">一、项目立项文件或批准文件   </w:t>
      </w:r>
      <w:r>
        <w:rPr>
          <w:rFonts w:hint="eastAsia" w:ascii="宋体" w:hAnsi="宋体" w:cs="宋体"/>
          <w:color w:val="000000"/>
          <w:sz w:val="24"/>
          <w:u w:val="single"/>
        </w:rPr>
        <w:t xml:space="preserve">        </w:t>
      </w:r>
      <w:r>
        <w:rPr>
          <w:rFonts w:ascii="宋体" w:hAnsi="宋体" w:cs="宋体"/>
          <w:color w:val="000000"/>
          <w:sz w:val="24"/>
          <w:u w:val="single"/>
        </w:rPr>
        <w:t xml:space="preserve">                                    </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ascii="宋体" w:hAnsi="宋体" w:cs="宋体"/>
          <w:color w:val="000000"/>
          <w:sz w:val="24"/>
        </w:rPr>
        <w:t>1</w:t>
      </w:r>
      <w:r>
        <w:rPr>
          <w:rFonts w:hint="eastAsia" w:ascii="宋体" w:hAnsi="宋体" w:cs="宋体"/>
          <w:color w:val="000000"/>
          <w:sz w:val="24"/>
        </w:rPr>
        <w:t>、经市领导签批同意财政评审的文件</w:t>
      </w:r>
      <w:r>
        <w:rPr>
          <w:rFonts w:ascii="宋体" w:hAnsi="宋体" w:cs="宋体"/>
          <w:color w:val="000000"/>
          <w:sz w:val="24"/>
          <w:u w:val="single"/>
        </w:rPr>
        <w:t xml:space="preserve">    </w:t>
      </w:r>
      <w:r>
        <w:rPr>
          <w:rFonts w:hint="eastAsia" w:ascii="宋体" w:hAnsi="宋体" w:cs="宋体"/>
          <w:color w:val="000000"/>
          <w:sz w:val="24"/>
        </w:rPr>
        <w:t>份，共</w:t>
      </w:r>
      <w:r>
        <w:rPr>
          <w:rFonts w:ascii="宋体" w:hAnsi="宋体" w:cs="宋体"/>
          <w:color w:val="000000"/>
          <w:sz w:val="24"/>
          <w:u w:val="single"/>
        </w:rPr>
        <w:t xml:space="preserve">     </w:t>
      </w:r>
      <w:r>
        <w:rPr>
          <w:rFonts w:hint="eastAsia" w:ascii="宋体" w:hAnsi="宋体" w:cs="宋体"/>
          <w:color w:val="000000"/>
          <w:sz w:val="24"/>
        </w:rPr>
        <w:t>页；                      *</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s="宋体"/>
          <w:color w:val="000000"/>
          <w:sz w:val="24"/>
        </w:rPr>
        <w:t>2、建设立项批复文件</w:t>
      </w:r>
      <w:r>
        <w:rPr>
          <w:rFonts w:ascii="宋体" w:hAnsi="宋体" w:cs="宋体"/>
          <w:color w:val="000000"/>
          <w:sz w:val="24"/>
          <w:u w:val="single"/>
        </w:rPr>
        <w:t xml:space="preserve">      </w:t>
      </w:r>
      <w:r>
        <w:rPr>
          <w:rFonts w:hint="eastAsia" w:ascii="宋体" w:hAnsi="宋体" w:cs="宋体"/>
          <w:color w:val="000000"/>
          <w:sz w:val="24"/>
        </w:rPr>
        <w:t>份，共</w:t>
      </w:r>
      <w:r>
        <w:rPr>
          <w:rFonts w:ascii="宋体" w:hAnsi="宋体" w:cs="宋体"/>
          <w:color w:val="000000"/>
          <w:sz w:val="24"/>
          <w:u w:val="single"/>
        </w:rPr>
        <w:t xml:space="preserve">     </w:t>
      </w:r>
      <w:r>
        <w:rPr>
          <w:rFonts w:hint="eastAsia" w:ascii="宋体" w:hAnsi="宋体" w:cs="宋体"/>
          <w:color w:val="000000"/>
          <w:sz w:val="24"/>
        </w:rPr>
        <w:t>页；</w:t>
      </w:r>
    </w:p>
    <w:p>
      <w:pPr>
        <w:pStyle w:val="9"/>
        <w:numPr>
          <w:ilvl w:val="0"/>
          <w:numId w:val="1"/>
        </w:numPr>
        <w:spacing w:before="100" w:beforeAutospacing="1" w:after="100" w:afterAutospacing="1" w:line="360" w:lineRule="exact"/>
        <w:ind w:left="357" w:hanging="357" w:firstLineChars="0"/>
        <w:rPr>
          <w:rFonts w:ascii="宋体" w:hAnsi="宋体" w:cs="宋体"/>
          <w:color w:val="000000"/>
          <w:sz w:val="24"/>
        </w:rPr>
      </w:pPr>
      <w:r>
        <w:rPr>
          <w:rFonts w:hint="eastAsia" w:ascii="宋体" w:hAnsi="宋体" w:cs="宋体"/>
          <w:color w:val="000000"/>
          <w:sz w:val="24"/>
        </w:rPr>
        <w:t>3、可行性研究报告或初步设计</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w:t>
      </w:r>
      <w:r>
        <w:rPr>
          <w:rFonts w:ascii="宋体" w:hAnsi="宋体" w:cs="宋体"/>
          <w:color w:val="000000"/>
          <w:sz w:val="24"/>
        </w:rPr>
        <w:t xml:space="preserve">     </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s="宋体"/>
          <w:color w:val="000000"/>
          <w:sz w:val="24"/>
        </w:rPr>
        <w:t>4、项目投资计划</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s="宋体"/>
          <w:color w:val="000000"/>
          <w:sz w:val="24"/>
        </w:rPr>
        <w:t>5、市政府会议纪要或其他与项目实施相关文件</w:t>
      </w:r>
      <w:r>
        <w:rPr>
          <w:rFonts w:ascii="宋体" w:hAnsi="宋体" w:cs="宋体"/>
          <w:color w:val="000000"/>
          <w:sz w:val="24"/>
          <w:u w:val="single"/>
        </w:rPr>
        <w:t xml:space="preserve">    </w:t>
      </w:r>
      <w:r>
        <w:rPr>
          <w:rFonts w:hint="eastAsia" w:ascii="宋体" w:hAnsi="宋体" w:cs="宋体"/>
          <w:color w:val="000000"/>
          <w:sz w:val="24"/>
        </w:rPr>
        <w:t>份，共</w:t>
      </w:r>
      <w:r>
        <w:rPr>
          <w:rFonts w:ascii="宋体" w:hAnsi="宋体" w:cs="宋体"/>
          <w:color w:val="000000"/>
          <w:sz w:val="24"/>
          <w:u w:val="single"/>
        </w:rPr>
        <w:t xml:space="preserve">     </w:t>
      </w:r>
      <w:r>
        <w:rPr>
          <w:rFonts w:hint="eastAsia" w:ascii="宋体" w:hAnsi="宋体" w:cs="宋体"/>
          <w:color w:val="000000"/>
          <w:sz w:val="24"/>
        </w:rPr>
        <w:t>页；</w:t>
      </w:r>
    </w:p>
    <w:p>
      <w:pPr>
        <w:pStyle w:val="9"/>
        <w:spacing w:before="100" w:beforeAutospacing="1" w:after="100" w:afterAutospacing="1" w:line="360" w:lineRule="exact"/>
        <w:ind w:firstLine="0" w:firstLineChars="0"/>
        <w:rPr>
          <w:rFonts w:ascii="宋体" w:hAnsi="宋体"/>
          <w:color w:val="000000"/>
          <w:sz w:val="24"/>
        </w:rPr>
      </w:pPr>
      <w:r>
        <w:rPr>
          <w:rFonts w:hint="eastAsia" w:ascii="宋体" w:hAnsi="宋体"/>
          <w:color w:val="000000"/>
          <w:sz w:val="24"/>
        </w:rPr>
        <w:t>二、项目预算评审资料</w:t>
      </w:r>
    </w:p>
    <w:p>
      <w:pPr>
        <w:pStyle w:val="9"/>
        <w:numPr>
          <w:ilvl w:val="0"/>
          <w:numId w:val="1"/>
        </w:numPr>
        <w:spacing w:before="100" w:beforeAutospacing="1" w:after="100" w:afterAutospacing="1" w:line="360" w:lineRule="exact"/>
        <w:ind w:left="357" w:hanging="357" w:firstLineChars="0"/>
        <w:rPr>
          <w:rFonts w:ascii="宋体" w:hAnsi="宋体" w:cs="宋体"/>
          <w:color w:val="000000"/>
          <w:sz w:val="24"/>
        </w:rPr>
      </w:pPr>
      <w:r>
        <w:rPr>
          <w:rFonts w:hint="eastAsia" w:ascii="宋体" w:hAnsi="宋体" w:cs="宋体"/>
          <w:color w:val="000000"/>
          <w:sz w:val="24"/>
        </w:rPr>
        <w:t>6、工程项目预算书</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页，报审额</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万元及可编辑电子版预算文件；</w:t>
      </w:r>
      <w:r>
        <w:rPr>
          <w:rFonts w:ascii="宋体" w:hAnsi="宋体" w:cs="宋体"/>
          <w:color w:val="000000"/>
          <w:sz w:val="24"/>
        </w:rPr>
        <w:t xml:space="preserve">  *</w:t>
      </w:r>
    </w:p>
    <w:p>
      <w:pPr>
        <w:pStyle w:val="9"/>
        <w:numPr>
          <w:ilvl w:val="0"/>
          <w:numId w:val="1"/>
        </w:numPr>
        <w:spacing w:before="100" w:beforeAutospacing="1" w:after="100" w:afterAutospacing="1" w:line="360" w:lineRule="exact"/>
        <w:ind w:left="357" w:hanging="357" w:firstLineChars="0"/>
        <w:rPr>
          <w:rFonts w:ascii="宋体" w:hAnsi="宋体" w:cs="宋体"/>
          <w:color w:val="000000"/>
          <w:sz w:val="24"/>
        </w:rPr>
      </w:pPr>
      <w:r>
        <w:rPr>
          <w:rFonts w:hint="eastAsia" w:ascii="宋体" w:hAnsi="宋体" w:cs="宋体"/>
          <w:color w:val="000000"/>
          <w:sz w:val="24"/>
        </w:rPr>
        <w:t>7、施工（设计）图纸</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 xml:space="preserve">页及CAD电子版；                        *（图纸目录要求有建设单位加盖公章、法定代表人名章、经办人签字且加盖骑缝公章；为便于存档请将图纸折叠为A4大小并装订成册。）  </w:t>
      </w:r>
    </w:p>
    <w:p>
      <w:pPr>
        <w:pStyle w:val="9"/>
        <w:numPr>
          <w:ilvl w:val="0"/>
          <w:numId w:val="1"/>
        </w:numPr>
        <w:spacing w:before="100" w:beforeAutospacing="1" w:after="100" w:afterAutospacing="1" w:line="360" w:lineRule="exact"/>
        <w:ind w:left="357" w:hanging="357" w:firstLineChars="0"/>
        <w:rPr>
          <w:rFonts w:ascii="宋体" w:hAnsi="宋体" w:cs="宋体"/>
          <w:color w:val="000000"/>
          <w:sz w:val="24"/>
        </w:rPr>
      </w:pPr>
      <w:r>
        <w:rPr>
          <w:rFonts w:hint="eastAsia" w:ascii="宋体" w:hAnsi="宋体" w:cs="宋体"/>
          <w:color w:val="000000"/>
          <w:sz w:val="24"/>
        </w:rPr>
        <w:t>8、建设单位对于专业工程暂估价、材料设备暂估价、特殊施工方案等说明文件</w:t>
      </w:r>
      <w:r>
        <w:rPr>
          <w:rFonts w:ascii="宋体" w:hAnsi="宋体" w:cs="宋体"/>
          <w:color w:val="000000"/>
          <w:sz w:val="24"/>
          <w:u w:val="single"/>
        </w:rPr>
        <w:t xml:space="preserve">  </w:t>
      </w:r>
      <w:r>
        <w:rPr>
          <w:rFonts w:hint="eastAsia" w:ascii="宋体" w:hAnsi="宋体" w:cs="宋体"/>
          <w:color w:val="000000"/>
          <w:sz w:val="24"/>
        </w:rPr>
        <w:t>份，共</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页；</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s="宋体"/>
          <w:color w:val="000000"/>
          <w:sz w:val="24"/>
        </w:rPr>
        <w:t>9、工程量计算书</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页或图纸算量电子版；                       *</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s="宋体"/>
          <w:color w:val="000000"/>
          <w:sz w:val="24"/>
        </w:rPr>
        <w:t>10、施工前现场影像资料</w:t>
      </w:r>
      <w:r>
        <w:rPr>
          <w:rFonts w:ascii="宋体" w:hAnsi="宋体" w:cs="宋体"/>
          <w:color w:val="000000"/>
          <w:sz w:val="24"/>
          <w:u w:val="single"/>
        </w:rPr>
        <w:t xml:space="preserve">  </w:t>
      </w:r>
      <w:r>
        <w:rPr>
          <w:rFonts w:hint="eastAsia" w:ascii="宋体" w:hAnsi="宋体" w:cs="宋体"/>
          <w:color w:val="000000"/>
          <w:sz w:val="24"/>
        </w:rPr>
        <w:t>份，共</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页；（维修改造项目必须提供）</w:t>
      </w:r>
    </w:p>
    <w:p>
      <w:pPr>
        <w:pStyle w:val="9"/>
        <w:spacing w:before="100" w:beforeAutospacing="1" w:after="100" w:afterAutospacing="1" w:line="360" w:lineRule="exact"/>
        <w:ind w:firstLine="0" w:firstLineChars="0"/>
        <w:rPr>
          <w:rFonts w:ascii="宋体" w:hAnsi="宋体" w:cs="宋体"/>
          <w:color w:val="000000"/>
          <w:sz w:val="24"/>
        </w:rPr>
      </w:pPr>
      <w:r>
        <w:rPr>
          <w:rFonts w:hint="eastAsia" w:ascii="宋体" w:hAnsi="宋体" w:cs="宋体"/>
          <w:color w:val="000000"/>
          <w:sz w:val="24"/>
        </w:rPr>
        <w:t>三、项目结算评审除以上资料外还需提供以下资料</w:t>
      </w:r>
    </w:p>
    <w:p>
      <w:pPr>
        <w:pStyle w:val="9"/>
        <w:numPr>
          <w:ilvl w:val="0"/>
          <w:numId w:val="1"/>
        </w:numPr>
        <w:spacing w:before="100" w:beforeAutospacing="1" w:after="100" w:afterAutospacing="1" w:line="360" w:lineRule="exact"/>
        <w:ind w:left="357" w:hanging="357" w:firstLineChars="0"/>
        <w:rPr>
          <w:rFonts w:ascii="宋体" w:hAnsi="宋体" w:cs="宋体"/>
          <w:color w:val="000000"/>
          <w:sz w:val="24"/>
        </w:rPr>
      </w:pPr>
      <w:r>
        <w:rPr>
          <w:rFonts w:hint="eastAsia" w:ascii="宋体" w:hAnsi="宋体" w:cs="宋体"/>
          <w:color w:val="000000"/>
          <w:sz w:val="24"/>
        </w:rPr>
        <w:t>11、工程项目结算书</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页，报审额</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万元及可编辑电子版结算文件；*（结算书封皮建设单位、施工单位、监理单位（如有时）需分别加盖公章、法定代表人名章、经办人或有资质人员签章且加盖骑缝公章；结算书金额需与经市领导签批同意财政评审的文件金额相同。）  </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s="宋体"/>
          <w:color w:val="000000"/>
          <w:sz w:val="24"/>
        </w:rPr>
        <w:t xml:space="preserve">12、合同或协议 </w:t>
      </w:r>
      <w:r>
        <w:rPr>
          <w:rFonts w:hint="eastAsia"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                                      *</w:t>
      </w:r>
    </w:p>
    <w:p>
      <w:pPr>
        <w:pStyle w:val="9"/>
        <w:numPr>
          <w:ilvl w:val="0"/>
          <w:numId w:val="1"/>
        </w:numPr>
        <w:spacing w:before="100" w:beforeAutospacing="1" w:after="100" w:afterAutospacing="1" w:line="360" w:lineRule="exact"/>
        <w:ind w:left="357" w:hanging="357" w:firstLineChars="0"/>
        <w:rPr>
          <w:rFonts w:ascii="宋体" w:hAnsi="宋体" w:cs="宋体"/>
          <w:color w:val="000000"/>
          <w:sz w:val="24"/>
        </w:rPr>
      </w:pPr>
      <w:r>
        <w:rPr>
          <w:rFonts w:hint="eastAsia" w:ascii="宋体" w:hAnsi="宋体" w:cs="宋体"/>
          <w:color w:val="000000"/>
          <w:sz w:val="24"/>
        </w:rPr>
        <w:t>13、施工单位资质及取费证书</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w:t>
      </w:r>
      <w:r>
        <w:rPr>
          <w:rFonts w:ascii="宋体" w:hAnsi="宋体" w:cs="宋体"/>
          <w:color w:val="000000"/>
          <w:sz w:val="24"/>
        </w:rPr>
        <w:t xml:space="preserve"> </w:t>
      </w:r>
      <w:r>
        <w:rPr>
          <w:rFonts w:hint="eastAsia" w:ascii="宋体" w:hAnsi="宋体" w:cs="宋体"/>
          <w:color w:val="000000"/>
          <w:sz w:val="24"/>
        </w:rPr>
        <w:t xml:space="preserve">                     </w:t>
      </w:r>
      <w:r>
        <w:rPr>
          <w:rFonts w:ascii="宋体" w:hAnsi="宋体" w:cs="宋体"/>
          <w:color w:val="000000"/>
          <w:sz w:val="24"/>
        </w:rPr>
        <w:t xml:space="preserve">     *</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s="宋体"/>
          <w:color w:val="000000"/>
          <w:sz w:val="24"/>
        </w:rPr>
        <w:t>14、招标控制价评审报告编号</w:t>
      </w:r>
      <w:r>
        <w:rPr>
          <w:rFonts w:hint="eastAsia" w:ascii="宋体" w:hAnsi="宋体" w:cs="宋体"/>
          <w:color w:val="000000"/>
          <w:sz w:val="24"/>
          <w:u w:val="single"/>
        </w:rPr>
        <w:t xml:space="preserve">              </w:t>
      </w:r>
      <w:r>
        <w:rPr>
          <w:rFonts w:hint="eastAsia" w:ascii="宋体" w:hAnsi="宋体" w:cs="宋体"/>
          <w:color w:val="000000"/>
          <w:sz w:val="24"/>
        </w:rPr>
        <w:t>；招投标文件</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s="宋体"/>
          <w:color w:val="000000"/>
          <w:sz w:val="24"/>
        </w:rPr>
        <w:t>15、施工单位中标通知书</w:t>
      </w:r>
      <w:r>
        <w:rPr>
          <w:rFonts w:ascii="宋体" w:hAnsi="宋体" w:cs="宋体"/>
          <w:color w:val="000000"/>
          <w:sz w:val="24"/>
        </w:rPr>
        <w:t xml:space="preserve"> </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w:t>
      </w:r>
    </w:p>
    <w:p>
      <w:pPr>
        <w:pStyle w:val="9"/>
        <w:numPr>
          <w:ilvl w:val="0"/>
          <w:numId w:val="1"/>
        </w:numPr>
        <w:spacing w:before="100" w:beforeAutospacing="1" w:after="100" w:afterAutospacing="1" w:line="360" w:lineRule="exact"/>
        <w:ind w:left="357" w:hanging="357" w:firstLineChars="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6、竣工图纸</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页及CAD电子版；（图纸目录要求有建设单位、施工单位、监理单位（如有时）分别加盖公章、法定代表人名章、经办人签字且加盖骑缝公章；为便于存档请将图纸折叠为A4大小并装订成册。）                            *</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olor w:val="000000"/>
          <w:sz w:val="24"/>
        </w:rPr>
        <w:t>17、竣工验收报告</w:t>
      </w:r>
      <w:r>
        <w:rPr>
          <w:rFonts w:ascii="宋体" w:hAnsi="宋体" w:cs="宋体"/>
          <w:color w:val="000000"/>
          <w:sz w:val="24"/>
          <w:u w:val="single"/>
        </w:rPr>
        <w:t xml:space="preserve">     </w:t>
      </w:r>
      <w:r>
        <w:rPr>
          <w:rFonts w:hint="eastAsia" w:ascii="宋体" w:hAnsi="宋体" w:cs="宋体"/>
          <w:color w:val="000000"/>
          <w:sz w:val="24"/>
          <w:u w:val="single"/>
        </w:rPr>
        <w:t>份</w:t>
      </w:r>
      <w:r>
        <w:rPr>
          <w:rFonts w:hint="eastAsia" w:ascii="宋体" w:hAnsi="宋体" w:cs="宋体"/>
          <w:color w:val="000000"/>
          <w:sz w:val="24"/>
        </w:rPr>
        <w:t>，共</w:t>
      </w:r>
      <w:r>
        <w:rPr>
          <w:rFonts w:ascii="宋体" w:hAnsi="宋体" w:cs="宋体"/>
          <w:color w:val="000000"/>
          <w:sz w:val="24"/>
          <w:u w:val="single"/>
        </w:rPr>
        <w:t xml:space="preserve">     </w:t>
      </w:r>
      <w:r>
        <w:rPr>
          <w:rFonts w:hint="eastAsia" w:ascii="宋体" w:hAnsi="宋体" w:cs="宋体"/>
          <w:color w:val="000000"/>
          <w:sz w:val="24"/>
        </w:rPr>
        <w:t>页；                                     *</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ascii="宋体" w:hAnsi="宋体" w:cs="宋体"/>
          <w:color w:val="000000"/>
          <w:sz w:val="24"/>
        </w:rPr>
        <w:t>1</w:t>
      </w:r>
      <w:r>
        <w:rPr>
          <w:rFonts w:hint="eastAsia" w:ascii="宋体" w:hAnsi="宋体" w:cs="宋体"/>
          <w:color w:val="000000"/>
          <w:sz w:val="24"/>
        </w:rPr>
        <w:t>8、施工图纸的设计变更</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ascii="宋体" w:hAnsi="宋体" w:cs="宋体"/>
          <w:color w:val="000000"/>
          <w:sz w:val="24"/>
        </w:rPr>
        <w:t>1</w:t>
      </w:r>
      <w:r>
        <w:rPr>
          <w:rFonts w:hint="eastAsia" w:ascii="宋体" w:hAnsi="宋体" w:cs="宋体"/>
          <w:color w:val="000000"/>
          <w:sz w:val="24"/>
        </w:rPr>
        <w:t>9、施工现场签证单</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s="宋体"/>
          <w:color w:val="000000"/>
          <w:sz w:val="24"/>
        </w:rPr>
        <w:t>20、技术档案资料</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页；（隐蔽工程记录、地质勘探报告、施工组织设计（施工方案、技术措施）、现场影像记录等）</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hint="eastAsia" w:ascii="宋体" w:hAnsi="宋体" w:cs="宋体"/>
          <w:color w:val="000000"/>
          <w:sz w:val="24"/>
        </w:rPr>
        <w:t>21、建设单位供应材料、设备清单</w:t>
      </w:r>
      <w:r>
        <w:rPr>
          <w:rFonts w:ascii="宋体" w:hAnsi="宋体" w:cs="宋体"/>
          <w:color w:val="000000"/>
          <w:sz w:val="24"/>
          <w:u w:val="single"/>
        </w:rPr>
        <w:t xml:space="preserve">     </w:t>
      </w:r>
      <w:r>
        <w:rPr>
          <w:rFonts w:hint="eastAsia" w:ascii="宋体" w:hAnsi="宋体" w:cs="宋体"/>
          <w:color w:val="000000"/>
          <w:sz w:val="24"/>
        </w:rPr>
        <w:t>本，共</w:t>
      </w:r>
      <w:r>
        <w:rPr>
          <w:rFonts w:ascii="宋体" w:hAnsi="宋体" w:cs="宋体"/>
          <w:color w:val="000000"/>
          <w:sz w:val="24"/>
          <w:u w:val="single"/>
        </w:rPr>
        <w:t xml:space="preserve">     </w:t>
      </w:r>
      <w:r>
        <w:rPr>
          <w:rFonts w:hint="eastAsia" w:ascii="宋体" w:hAnsi="宋体" w:cs="宋体"/>
          <w:color w:val="000000"/>
          <w:sz w:val="24"/>
        </w:rPr>
        <w:t>页；</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ascii="宋体" w:hAnsi="宋体" w:cs="宋体"/>
          <w:color w:val="000000"/>
          <w:sz w:val="24"/>
        </w:rPr>
        <w:t>2</w:t>
      </w:r>
      <w:r>
        <w:rPr>
          <w:rFonts w:hint="eastAsia" w:ascii="宋体" w:hAnsi="宋体" w:cs="宋体"/>
          <w:color w:val="000000"/>
          <w:sz w:val="24"/>
        </w:rPr>
        <w:t>2、</w:t>
      </w:r>
      <w:r>
        <w:rPr>
          <w:rFonts w:ascii="宋体" w:hAnsi="宋体" w:cs="宋体"/>
          <w:color w:val="000000"/>
          <w:sz w:val="24"/>
          <w:u w:val="single"/>
        </w:rPr>
        <w:t xml:space="preserve">                                                          </w:t>
      </w:r>
      <w:r>
        <w:rPr>
          <w:rFonts w:hint="eastAsia" w:ascii="宋体" w:hAnsi="宋体" w:cs="宋体"/>
          <w:color w:val="000000"/>
          <w:sz w:val="24"/>
        </w:rPr>
        <w:t>；</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r>
        <w:rPr>
          <w:rFonts w:ascii="宋体" w:hAnsi="宋体" w:cs="宋体"/>
          <w:color w:val="000000"/>
          <w:sz w:val="24"/>
        </w:rPr>
        <w:t>2</w:t>
      </w:r>
      <w:r>
        <w:rPr>
          <w:rFonts w:hint="eastAsia" w:ascii="宋体" w:hAnsi="宋体" w:cs="宋体"/>
          <w:color w:val="000000"/>
          <w:sz w:val="24"/>
        </w:rPr>
        <w:t>3、</w:t>
      </w:r>
      <w:r>
        <w:rPr>
          <w:rFonts w:ascii="宋体" w:hAnsi="宋体" w:cs="宋体"/>
          <w:color w:val="000000"/>
          <w:sz w:val="24"/>
          <w:u w:val="single"/>
        </w:rPr>
        <w:t xml:space="preserve">                                                          </w:t>
      </w:r>
      <w:r>
        <w:rPr>
          <w:rFonts w:hint="eastAsia" w:ascii="宋体" w:hAnsi="宋体" w:cs="宋体"/>
          <w:color w:val="000000"/>
          <w:sz w:val="24"/>
        </w:rPr>
        <w:t>。</w:t>
      </w:r>
    </w:p>
    <w:p>
      <w:pPr>
        <w:pStyle w:val="9"/>
        <w:numPr>
          <w:ilvl w:val="0"/>
          <w:numId w:val="1"/>
        </w:numPr>
        <w:spacing w:before="100" w:beforeAutospacing="1" w:after="100" w:afterAutospacing="1" w:line="360" w:lineRule="exact"/>
        <w:ind w:left="357" w:hanging="357" w:firstLineChars="0"/>
        <w:rPr>
          <w:rFonts w:ascii="宋体" w:hAnsi="宋体"/>
          <w:color w:val="000000"/>
          <w:sz w:val="24"/>
        </w:rPr>
      </w:pPr>
    </w:p>
    <w:p>
      <w:pPr>
        <w:spacing w:before="100" w:beforeAutospacing="1" w:after="100" w:afterAutospacing="1" w:line="320" w:lineRule="exact"/>
        <w:ind w:firstLine="472" w:firstLineChars="200"/>
        <w:rPr>
          <w:rFonts w:ascii="宋体" w:hAnsi="宋体" w:cs="宋体"/>
          <w:color w:val="000000"/>
          <w:sz w:val="24"/>
        </w:rPr>
      </w:pPr>
      <w:r>
        <w:rPr>
          <w:rFonts w:hint="eastAsia" w:ascii="宋体" w:hAnsi="宋体" w:cs="宋体"/>
          <w:color w:val="000000"/>
          <w:sz w:val="24"/>
        </w:rPr>
        <w:t>以上资料中带“*”标记项为必要评审资料，其他为根据项目情况选填资料项。</w:t>
      </w:r>
    </w:p>
    <w:p>
      <w:pPr>
        <w:spacing w:before="100" w:beforeAutospacing="1" w:after="100" w:afterAutospacing="1" w:line="320" w:lineRule="exact"/>
        <w:ind w:firstLine="472" w:firstLineChars="200"/>
        <w:rPr>
          <w:rFonts w:hint="eastAsia" w:ascii="宋体" w:hAnsi="宋体" w:cs="宋体"/>
          <w:color w:val="000000"/>
          <w:sz w:val="24"/>
        </w:rPr>
      </w:pPr>
      <w:r>
        <w:rPr>
          <w:rFonts w:hint="eastAsia" w:ascii="宋体" w:hAnsi="宋体" w:cs="宋体"/>
          <w:color w:val="000000"/>
          <w:sz w:val="24"/>
        </w:rPr>
        <w:t>我单位</w:t>
      </w:r>
    </w:p>
    <w:p>
      <w:pPr>
        <w:spacing w:before="100" w:beforeAutospacing="1" w:after="100" w:afterAutospacing="1" w:line="320" w:lineRule="exact"/>
        <w:ind w:firstLine="472" w:firstLineChars="200"/>
        <w:rPr>
          <w:rFonts w:ascii="宋体" w:hAnsi="宋体" w:cs="宋体"/>
          <w:color w:val="000000"/>
          <w:sz w:val="24"/>
        </w:rPr>
      </w:pPr>
      <w:r>
        <w:rPr>
          <w:rFonts w:hint="eastAsia" w:ascii="宋体" w:hAnsi="宋体" w:cs="宋体"/>
          <w:color w:val="000000"/>
          <w:sz w:val="24"/>
        </w:rPr>
        <w:t>授权</w:t>
      </w:r>
      <w:r>
        <w:rPr>
          <w:rFonts w:hint="eastAsia" w:ascii="宋体" w:hAnsi="宋体" w:cs="宋体"/>
          <w:color w:val="000000"/>
          <w:sz w:val="24"/>
          <w:u w:val="single"/>
        </w:rPr>
        <w:t xml:space="preserve">              </w:t>
      </w:r>
      <w:r>
        <w:rPr>
          <w:rFonts w:hint="eastAsia" w:ascii="宋体" w:hAnsi="宋体" w:cs="宋体"/>
          <w:color w:val="000000"/>
          <w:sz w:val="24"/>
        </w:rPr>
        <w:t>负责与市财政评审中心对接相关工作，授权人在项目评审过程中所签署文件均予以认可，联系电话：</w:t>
      </w:r>
      <w:r>
        <w:rPr>
          <w:rFonts w:hint="eastAsia" w:ascii="宋体" w:hAnsi="宋体" w:cs="宋体"/>
          <w:color w:val="000000"/>
          <w:sz w:val="24"/>
          <w:u w:val="single"/>
        </w:rPr>
        <w:t xml:space="preserve">                    </w:t>
      </w:r>
      <w:r>
        <w:rPr>
          <w:rFonts w:hint="eastAsia" w:ascii="宋体" w:hAnsi="宋体" w:cs="宋体"/>
          <w:color w:val="000000"/>
          <w:sz w:val="24"/>
        </w:rPr>
        <w:t>。</w:t>
      </w:r>
    </w:p>
    <w:p>
      <w:pPr>
        <w:spacing w:before="100" w:beforeAutospacing="1" w:after="100" w:afterAutospacing="1" w:line="320" w:lineRule="exact"/>
        <w:ind w:firstLine="472" w:firstLineChars="200"/>
        <w:rPr>
          <w:rFonts w:hint="eastAsia" w:ascii="宋体" w:hAnsi="宋体" w:cs="宋体"/>
          <w:color w:val="000000"/>
          <w:sz w:val="24"/>
        </w:rPr>
      </w:pPr>
      <w:r>
        <w:rPr>
          <w:rFonts w:hint="eastAsia" w:ascii="宋体" w:hAnsi="宋体" w:cs="宋体"/>
          <w:color w:val="000000"/>
          <w:sz w:val="24"/>
        </w:rPr>
        <w:t>我单位承诺上述资料经我单位审核认定，提供的评审资料为该项目评审所需的全部完整资料，是项目评审的全部计量计价依据，并对其真实性、完整性负责。如有遗漏在评审过程中补充资料，造成评审工作延期，由我单位负责。</w:t>
      </w:r>
    </w:p>
    <w:p>
      <w:pPr>
        <w:spacing w:before="100" w:beforeAutospacing="1" w:after="100" w:afterAutospacing="1" w:line="320" w:lineRule="exact"/>
        <w:ind w:left="360"/>
        <w:rPr>
          <w:rFonts w:hint="eastAsia" w:ascii="宋体" w:hAnsi="宋体" w:cs="宋体"/>
          <w:color w:val="000000"/>
          <w:sz w:val="24"/>
        </w:rPr>
      </w:pPr>
    </w:p>
    <w:p>
      <w:pPr>
        <w:spacing w:before="100" w:beforeAutospacing="1" w:after="100" w:afterAutospacing="1" w:line="320" w:lineRule="exact"/>
        <w:ind w:firstLine="3540" w:firstLineChars="1500"/>
        <w:rPr>
          <w:rFonts w:ascii="宋体" w:hAnsi="宋体" w:cs="宋体"/>
          <w:color w:val="000000"/>
          <w:sz w:val="24"/>
        </w:rPr>
      </w:pPr>
      <w:r>
        <w:rPr>
          <w:rFonts w:hint="eastAsia" w:ascii="宋体" w:hAnsi="宋体" w:cs="宋体"/>
          <w:color w:val="000000"/>
          <w:sz w:val="24"/>
        </w:rPr>
        <w:t>建设单位：</w:t>
      </w:r>
      <w:r>
        <w:rPr>
          <w:rFonts w:ascii="宋体" w:hAnsi="宋体" w:cs="宋体"/>
          <w:color w:val="000000"/>
          <w:sz w:val="24"/>
          <w:u w:val="single"/>
        </w:rPr>
        <w:t xml:space="preserve">                                    </w:t>
      </w:r>
      <w:r>
        <w:rPr>
          <w:rFonts w:ascii="宋体" w:hAnsi="宋体" w:cs="宋体"/>
          <w:color w:val="000000"/>
          <w:sz w:val="24"/>
        </w:rPr>
        <w:t>.</w:t>
      </w:r>
    </w:p>
    <w:p>
      <w:pPr>
        <w:spacing w:before="100" w:beforeAutospacing="1" w:after="100" w:afterAutospacing="1" w:line="320" w:lineRule="exact"/>
        <w:ind w:firstLine="3540" w:firstLineChars="1500"/>
        <w:rPr>
          <w:rFonts w:hint="eastAsia" w:ascii="宋体" w:hAnsi="宋体" w:cs="宋体"/>
          <w:color w:val="000000"/>
          <w:sz w:val="24"/>
        </w:rPr>
      </w:pPr>
      <w:r>
        <w:rPr>
          <w:rFonts w:hint="eastAsia" w:ascii="宋体" w:hAnsi="宋体" w:cs="宋体"/>
          <w:color w:val="000000"/>
          <w:sz w:val="24"/>
        </w:rPr>
        <w:t>法定代表人：（签字或盖章）</w:t>
      </w:r>
    </w:p>
    <w:p>
      <w:pPr>
        <w:spacing w:before="100" w:beforeAutospacing="1" w:after="100" w:afterAutospacing="1" w:line="320" w:lineRule="exact"/>
        <w:ind w:firstLine="3540" w:firstLineChars="1500"/>
        <w:rPr>
          <w:rFonts w:ascii="宋体" w:hAnsi="宋体"/>
          <w:color w:val="000000"/>
          <w:sz w:val="24"/>
        </w:rPr>
      </w:pPr>
      <w:r>
        <w:rPr>
          <w:rFonts w:hint="eastAsia" w:ascii="宋体" w:hAnsi="宋体" w:cs="宋体"/>
          <w:color w:val="000000"/>
          <w:sz w:val="24"/>
        </w:rPr>
        <w:t>经</w:t>
      </w:r>
      <w:r>
        <w:rPr>
          <w:rFonts w:ascii="宋体" w:hAnsi="宋体" w:cs="宋体"/>
          <w:color w:val="000000"/>
          <w:sz w:val="24"/>
        </w:rPr>
        <w:t xml:space="preserve"> </w:t>
      </w:r>
      <w:r>
        <w:rPr>
          <w:rFonts w:hint="eastAsia" w:ascii="宋体" w:hAnsi="宋体" w:cs="宋体"/>
          <w:color w:val="000000"/>
          <w:sz w:val="24"/>
        </w:rPr>
        <w:t>手</w:t>
      </w:r>
      <w:r>
        <w:rPr>
          <w:rFonts w:ascii="宋体" w:hAnsi="宋体" w:cs="宋体"/>
          <w:color w:val="000000"/>
          <w:sz w:val="24"/>
        </w:rPr>
        <w:t xml:space="preserve"> </w:t>
      </w:r>
      <w:r>
        <w:rPr>
          <w:rFonts w:hint="eastAsia" w:ascii="宋体" w:hAnsi="宋体" w:cs="宋体"/>
          <w:color w:val="000000"/>
          <w:sz w:val="24"/>
        </w:rPr>
        <w:t>人：（签字）</w:t>
      </w:r>
    </w:p>
    <w:p>
      <w:pPr>
        <w:spacing w:before="100" w:beforeAutospacing="1" w:after="100" w:afterAutospacing="1" w:line="320" w:lineRule="exact"/>
        <w:ind w:left="518" w:leftChars="164" w:firstLine="5546" w:firstLineChars="2350"/>
        <w:rPr>
          <w:rFonts w:ascii="宋体" w:hAnsi="宋体"/>
          <w:color w:val="000000"/>
          <w:sz w:val="24"/>
          <w:u w:val="single"/>
        </w:rPr>
      </w:pP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pStyle w:val="8"/>
        <w:spacing w:before="0" w:beforeAutospacing="0" w:after="0" w:afterAutospacing="0" w:line="560" w:lineRule="exact"/>
        <w:ind w:firstLine="1580" w:firstLineChars="500"/>
        <w:jc w:val="both"/>
        <w:rPr>
          <w:rFonts w:hint="eastAsia" w:ascii="仿宋_GB2312" w:eastAsia="仿宋_GB2312"/>
          <w:color w:val="000000"/>
          <w:sz w:val="32"/>
          <w:szCs w:val="32"/>
        </w:rPr>
      </w:pPr>
    </w:p>
    <w:p>
      <w:pPr>
        <w:rPr>
          <w:rFonts w:hint="eastAsia" w:ascii="黑体" w:hAnsi="黑体" w:eastAsia="黑体" w:cs="宋体"/>
          <w:bCs/>
          <w:color w:val="000000"/>
          <w:sz w:val="32"/>
          <w:szCs w:val="32"/>
        </w:rPr>
      </w:pPr>
    </w:p>
    <w:p>
      <w:pPr>
        <w:rPr>
          <w:rFonts w:hint="eastAsia" w:ascii="黑体" w:hAnsi="黑体" w:eastAsia="黑体" w:cs="宋体"/>
          <w:bCs/>
          <w:color w:val="000000"/>
          <w:sz w:val="32"/>
          <w:szCs w:val="32"/>
        </w:rPr>
      </w:pPr>
    </w:p>
    <w:p>
      <w:pPr>
        <w:rPr>
          <w:rFonts w:hint="eastAsia" w:ascii="黑体" w:hAnsi="黑体" w:eastAsia="黑体" w:cs="宋体"/>
          <w:bCs/>
          <w:color w:val="000000"/>
          <w:sz w:val="32"/>
          <w:szCs w:val="32"/>
        </w:rPr>
      </w:pPr>
      <w:r>
        <w:rPr>
          <w:rFonts w:hint="eastAsia" w:ascii="黑体" w:hAnsi="黑体" w:eastAsia="黑体" w:cs="宋体"/>
          <w:bCs/>
          <w:color w:val="000000"/>
          <w:sz w:val="32"/>
          <w:szCs w:val="32"/>
        </w:rPr>
        <w:t>附件2</w:t>
      </w:r>
    </w:p>
    <w:p>
      <w:pPr>
        <w:rPr>
          <w:rFonts w:hint="eastAsia" w:ascii="黑体" w:hAnsi="黑体" w:eastAsia="黑体"/>
          <w:color w:val="000000"/>
          <w:sz w:val="32"/>
          <w:szCs w:val="32"/>
        </w:rPr>
      </w:pPr>
    </w:p>
    <w:p>
      <w:pPr>
        <w:spacing w:line="64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紧急项目预算（招标控制价）送审报告</w:t>
      </w:r>
    </w:p>
    <w:p>
      <w:pPr>
        <w:jc w:val="center"/>
        <w:rPr>
          <w:rFonts w:hint="eastAsia"/>
          <w:b/>
          <w:bCs/>
          <w:color w:val="000000"/>
          <w:sz w:val="36"/>
          <w:szCs w:val="36"/>
        </w:rPr>
      </w:pPr>
    </w:p>
    <w:p>
      <w:pPr>
        <w:rPr>
          <w:rFonts w:hint="eastAsia" w:ascii="仿宋_GB2312" w:eastAsia="仿宋_GB2312"/>
          <w:color w:val="000000"/>
          <w:sz w:val="30"/>
          <w:szCs w:val="30"/>
        </w:rPr>
      </w:pPr>
      <w:r>
        <w:rPr>
          <w:rFonts w:hint="eastAsia" w:ascii="仿宋_GB2312" w:eastAsia="仿宋_GB2312"/>
          <w:color w:val="000000"/>
          <w:sz w:val="30"/>
          <w:szCs w:val="30"/>
        </w:rPr>
        <w:t>尚志市财政局：</w:t>
      </w:r>
    </w:p>
    <w:p>
      <w:pPr>
        <w:ind w:firstLine="581"/>
        <w:rPr>
          <w:rFonts w:hint="eastAsia" w:ascii="仿宋_GB2312" w:eastAsia="仿宋_GB2312"/>
          <w:color w:val="000000"/>
          <w:sz w:val="30"/>
          <w:szCs w:val="30"/>
        </w:rPr>
      </w:pPr>
      <w:r>
        <w:rPr>
          <w:rFonts w:hint="eastAsia" w:ascii="仿宋_GB2312" w:eastAsia="仿宋_GB2312"/>
          <w:color w:val="000000"/>
          <w:sz w:val="30"/>
          <w:szCs w:val="30"/>
        </w:rPr>
        <w:t>我单位负责组织建设的</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工程（项目），其概算批复投资</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万元。项目招标代理机构是</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。该项目因</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原因，情况紧急，需执行紧急评审程序。送审资料经我单位初审通过，所有送审资料真实、合法，无虚假、歪曲、舞弊现象。</w:t>
      </w:r>
    </w:p>
    <w:p>
      <w:pPr>
        <w:rPr>
          <w:rFonts w:hint="eastAsia" w:ascii="仿宋_GB2312" w:eastAsia="仿宋_GB2312"/>
          <w:color w:val="000000"/>
          <w:sz w:val="30"/>
          <w:szCs w:val="30"/>
        </w:rPr>
      </w:pPr>
      <w:r>
        <w:rPr>
          <w:rFonts w:hint="eastAsia" w:ascii="仿宋_GB2312" w:eastAsia="仿宋_GB2312"/>
          <w:color w:val="000000"/>
          <w:sz w:val="30"/>
          <w:szCs w:val="30"/>
        </w:rPr>
        <w:t xml:space="preserve">    请你局安排紧急评审事宜。</w:t>
      </w:r>
    </w:p>
    <w:p>
      <w:pPr>
        <w:ind w:firstLine="592" w:firstLineChars="200"/>
        <w:rPr>
          <w:rFonts w:hint="eastAsia" w:ascii="仿宋_GB2312" w:eastAsia="仿宋_GB2312"/>
          <w:color w:val="000000"/>
          <w:sz w:val="30"/>
          <w:szCs w:val="30"/>
        </w:rPr>
      </w:pPr>
      <w:r>
        <w:rPr>
          <w:rFonts w:hint="eastAsia" w:ascii="仿宋_GB2312" w:eastAsia="仿宋_GB2312"/>
          <w:color w:val="000000"/>
          <w:sz w:val="30"/>
          <w:szCs w:val="30"/>
        </w:rPr>
        <w:t>附：送审资料清单（附件1）</w:t>
      </w:r>
    </w:p>
    <w:p>
      <w:pPr>
        <w:ind w:firstLine="592" w:firstLineChars="200"/>
        <w:rPr>
          <w:rFonts w:hint="eastAsia" w:ascii="仿宋_GB2312" w:eastAsia="仿宋_GB2312"/>
          <w:color w:val="000000"/>
          <w:sz w:val="30"/>
          <w:szCs w:val="30"/>
        </w:rPr>
      </w:pPr>
    </w:p>
    <w:p>
      <w:pPr>
        <w:ind w:firstLine="592"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                建设单位（公章）</w:t>
      </w:r>
    </w:p>
    <w:p>
      <w:pPr>
        <w:ind w:firstLine="592"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                法定代表人签字：</w:t>
      </w:r>
    </w:p>
    <w:p>
      <w:pPr>
        <w:ind w:firstLine="592"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                送审人签字：</w:t>
      </w:r>
    </w:p>
    <w:p>
      <w:pPr>
        <w:ind w:firstLine="592"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                送审人电话：</w:t>
      </w:r>
    </w:p>
    <w:p>
      <w:pPr>
        <w:ind w:firstLine="592" w:firstLineChars="200"/>
        <w:rPr>
          <w:rFonts w:hint="eastAsia" w:ascii="仿宋_GB2312" w:eastAsia="仿宋_GB2312"/>
          <w:color w:val="000000"/>
          <w:sz w:val="30"/>
          <w:szCs w:val="30"/>
        </w:rPr>
      </w:pPr>
      <w:r>
        <w:rPr>
          <w:rFonts w:hint="eastAsia" w:ascii="仿宋_GB2312" w:eastAsia="仿宋_GB2312"/>
          <w:color w:val="000000"/>
          <w:sz w:val="30"/>
          <w:szCs w:val="30"/>
        </w:rPr>
        <w:t xml:space="preserve">                                   年    月    日</w:t>
      </w:r>
    </w:p>
    <w:p>
      <w:pPr>
        <w:ind w:firstLine="592" w:firstLineChars="200"/>
        <w:rPr>
          <w:rFonts w:hint="eastAsia" w:ascii="仿宋_GB2312" w:eastAsia="仿宋_GB2312"/>
          <w:color w:val="000000"/>
          <w:sz w:val="30"/>
          <w:szCs w:val="30"/>
        </w:rPr>
      </w:pPr>
    </w:p>
    <w:p>
      <w:pPr>
        <w:ind w:firstLine="592" w:firstLineChars="200"/>
        <w:rPr>
          <w:rFonts w:hint="eastAsia" w:ascii="仿宋_GB2312" w:eastAsia="仿宋_GB2312"/>
          <w:b/>
          <w:bCs/>
          <w:color w:val="000000"/>
          <w:sz w:val="30"/>
          <w:szCs w:val="30"/>
        </w:rPr>
      </w:pPr>
      <w:r>
        <w:rPr>
          <w:rFonts w:hint="eastAsia" w:ascii="仿宋_GB2312" w:eastAsia="仿宋_GB2312"/>
          <w:b/>
          <w:bCs/>
          <w:color w:val="000000"/>
          <w:sz w:val="30"/>
          <w:szCs w:val="30"/>
        </w:rPr>
        <w:t>财政局长签批意见：</w:t>
      </w:r>
    </w:p>
    <w:p>
      <w:pPr>
        <w:ind w:firstLine="592" w:firstLineChars="200"/>
        <w:rPr>
          <w:rFonts w:hint="eastAsia" w:ascii="仿宋_GB2312" w:eastAsia="仿宋_GB2312"/>
          <w:b/>
          <w:bCs/>
          <w:color w:val="000000"/>
          <w:sz w:val="30"/>
          <w:szCs w:val="30"/>
        </w:rPr>
      </w:pPr>
    </w:p>
    <w:p>
      <w:pPr>
        <w:ind w:firstLine="592" w:firstLineChars="200"/>
        <w:rPr>
          <w:rFonts w:hint="eastAsia" w:ascii="仿宋_GB2312" w:eastAsia="仿宋_GB2312"/>
          <w:b/>
          <w:bCs/>
          <w:color w:val="000000"/>
          <w:sz w:val="30"/>
          <w:szCs w:val="30"/>
        </w:rPr>
      </w:pPr>
      <w:r>
        <w:rPr>
          <w:rFonts w:hint="eastAsia" w:ascii="仿宋_GB2312" w:eastAsia="仿宋_GB2312"/>
          <w:b/>
          <w:bCs/>
          <w:color w:val="000000"/>
          <w:sz w:val="30"/>
          <w:szCs w:val="30"/>
        </w:rPr>
        <w:t>财政评审局长签批意见：</w:t>
      </w:r>
    </w:p>
    <w:p>
      <w:pPr>
        <w:rPr>
          <w:rFonts w:hint="eastAsia" w:ascii="黑体" w:hAnsi="黑体" w:eastAsia="黑体"/>
          <w:bCs/>
          <w:color w:val="000000"/>
          <w:sz w:val="32"/>
          <w:szCs w:val="32"/>
        </w:rPr>
      </w:pPr>
      <w:r>
        <w:rPr>
          <w:rFonts w:hint="eastAsia" w:ascii="黑体" w:hAnsi="黑体" w:eastAsia="黑体"/>
          <w:bCs/>
          <w:color w:val="000000"/>
          <w:sz w:val="32"/>
          <w:szCs w:val="32"/>
        </w:rPr>
        <w:t>附件3</w:t>
      </w:r>
    </w:p>
    <w:p>
      <w:pPr>
        <w:spacing w:after="156" w:afterLines="50"/>
        <w:jc w:val="center"/>
        <w:rPr>
          <w:rFonts w:hint="eastAsia" w:ascii="方正小标宋简体" w:eastAsia="方正小标宋简体"/>
          <w:spacing w:val="40"/>
          <w:sz w:val="44"/>
          <w:szCs w:val="44"/>
        </w:rPr>
      </w:pPr>
      <w:r>
        <w:rPr>
          <w:rFonts w:hint="eastAsia" w:ascii="方正小标宋简体" w:eastAsia="方正小标宋简体"/>
          <w:spacing w:val="40"/>
          <w:sz w:val="44"/>
          <w:szCs w:val="44"/>
        </w:rPr>
        <w:t>××项目补报资料汇总表</w:t>
      </w:r>
    </w:p>
    <w:tbl>
      <w:tblPr>
        <w:tblStyle w:val="5"/>
        <w:tblW w:w="9639" w:type="dxa"/>
        <w:jc w:val="center"/>
        <w:tblLayout w:type="autofit"/>
        <w:tblCellMar>
          <w:top w:w="0" w:type="dxa"/>
          <w:left w:w="108" w:type="dxa"/>
          <w:bottom w:w="0" w:type="dxa"/>
          <w:right w:w="108" w:type="dxa"/>
        </w:tblCellMar>
      </w:tblPr>
      <w:tblGrid>
        <w:gridCol w:w="953"/>
        <w:gridCol w:w="4622"/>
        <w:gridCol w:w="2032"/>
        <w:gridCol w:w="2032"/>
      </w:tblGrid>
      <w:tr>
        <w:tblPrEx>
          <w:tblCellMar>
            <w:top w:w="0" w:type="dxa"/>
            <w:left w:w="108" w:type="dxa"/>
            <w:bottom w:w="0" w:type="dxa"/>
            <w:right w:w="108" w:type="dxa"/>
          </w:tblCellMar>
        </w:tblPrEx>
        <w:trPr>
          <w:trHeight w:val="500" w:hRule="atLeast"/>
          <w:jc w:val="center"/>
        </w:trPr>
        <w:tc>
          <w:tcPr>
            <w:tcW w:w="5575" w:type="dxa"/>
            <w:gridSpan w:val="2"/>
            <w:tcBorders>
              <w:top w:val="nil"/>
              <w:left w:val="nil"/>
              <w:bottom w:val="single" w:color="auto" w:sz="12" w:space="0"/>
              <w:right w:val="nil"/>
            </w:tcBorders>
            <w:noWrap/>
            <w:vAlign w:val="center"/>
          </w:tcPr>
          <w:p>
            <w:pPr>
              <w:widowControl/>
              <w:rPr>
                <w:rFonts w:ascii="黑体" w:hAnsi="黑体" w:eastAsia="黑体" w:cs="宋体"/>
                <w:color w:val="000000"/>
                <w:kern w:val="0"/>
                <w:sz w:val="28"/>
                <w:szCs w:val="28"/>
              </w:rPr>
            </w:pPr>
            <w:r>
              <w:rPr>
                <w:rFonts w:hint="eastAsia" w:ascii="黑体" w:hAnsi="黑体" w:eastAsia="黑体" w:cs="宋体"/>
                <w:color w:val="000000"/>
                <w:kern w:val="0"/>
                <w:sz w:val="28"/>
                <w:szCs w:val="28"/>
              </w:rPr>
              <w:t>工程名称：</w:t>
            </w:r>
          </w:p>
        </w:tc>
        <w:tc>
          <w:tcPr>
            <w:tcW w:w="4064" w:type="dxa"/>
            <w:gridSpan w:val="2"/>
            <w:tcBorders>
              <w:top w:val="nil"/>
              <w:left w:val="nil"/>
              <w:bottom w:val="single" w:color="auto" w:sz="12" w:space="0"/>
              <w:right w:val="nil"/>
            </w:tcBorders>
            <w:noWrap/>
            <w:vAlign w:val="center"/>
          </w:tcPr>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送达日期：</w:t>
            </w:r>
          </w:p>
        </w:tc>
      </w:tr>
      <w:tr>
        <w:tblPrEx>
          <w:tblCellMar>
            <w:top w:w="0" w:type="dxa"/>
            <w:left w:w="108" w:type="dxa"/>
            <w:bottom w:w="0" w:type="dxa"/>
            <w:right w:w="108" w:type="dxa"/>
          </w:tblCellMar>
        </w:tblPrEx>
        <w:trPr>
          <w:trHeight w:val="560" w:hRule="atLeast"/>
          <w:jc w:val="center"/>
        </w:trPr>
        <w:tc>
          <w:tcPr>
            <w:tcW w:w="953" w:type="dxa"/>
            <w:tcBorders>
              <w:top w:val="single" w:color="auto" w:sz="12" w:space="0"/>
              <w:left w:val="single" w:color="auto" w:sz="12" w:space="0"/>
              <w:bottom w:val="single" w:color="000000" w:sz="4" w:space="0"/>
              <w:right w:val="single" w:color="000000" w:sz="4" w:space="0"/>
            </w:tcBorders>
            <w:noWrap/>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4622" w:type="dxa"/>
            <w:tcBorders>
              <w:top w:val="single" w:color="auto" w:sz="12" w:space="0"/>
              <w:left w:val="single" w:color="000000" w:sz="4" w:space="0"/>
              <w:bottom w:val="single" w:color="000000" w:sz="4" w:space="0"/>
              <w:right w:val="single" w:color="000000" w:sz="4" w:space="0"/>
            </w:tcBorders>
            <w:noWrap/>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资  料  名  称</w:t>
            </w:r>
          </w:p>
        </w:tc>
        <w:tc>
          <w:tcPr>
            <w:tcW w:w="2032" w:type="dxa"/>
            <w:tcBorders>
              <w:top w:val="single" w:color="auto" w:sz="12" w:space="0"/>
              <w:left w:val="single" w:color="000000" w:sz="4" w:space="0"/>
              <w:bottom w:val="single" w:color="000000" w:sz="4" w:space="0"/>
              <w:right w:val="single" w:color="000000" w:sz="4" w:space="0"/>
            </w:tcBorders>
            <w:noWrap/>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份  数</w:t>
            </w:r>
          </w:p>
        </w:tc>
        <w:tc>
          <w:tcPr>
            <w:tcW w:w="2032" w:type="dxa"/>
            <w:tcBorders>
              <w:top w:val="single" w:color="auto" w:sz="12" w:space="0"/>
              <w:left w:val="single" w:color="000000" w:sz="4" w:space="0"/>
              <w:bottom w:val="single" w:color="000000" w:sz="4" w:space="0"/>
              <w:right w:val="single" w:color="auto" w:sz="12" w:space="0"/>
            </w:tcBorders>
            <w:noWrap/>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页  数</w:t>
            </w:r>
          </w:p>
        </w:tc>
      </w:tr>
      <w:tr>
        <w:tblPrEx>
          <w:tblCellMar>
            <w:top w:w="0" w:type="dxa"/>
            <w:left w:w="108" w:type="dxa"/>
            <w:bottom w:w="0" w:type="dxa"/>
            <w:right w:w="108" w:type="dxa"/>
          </w:tblCellMar>
        </w:tblPrEx>
        <w:trPr>
          <w:trHeight w:val="510" w:hRule="atLeast"/>
          <w:jc w:val="center"/>
        </w:trPr>
        <w:tc>
          <w:tcPr>
            <w:tcW w:w="953" w:type="dxa"/>
            <w:tcBorders>
              <w:top w:val="single" w:color="000000" w:sz="4" w:space="0"/>
              <w:left w:val="single" w:color="auto" w:sz="12" w:space="0"/>
              <w:bottom w:val="single" w:color="000000" w:sz="4" w:space="0"/>
              <w:right w:val="single" w:color="000000" w:sz="4" w:space="0"/>
            </w:tcBorders>
            <w:noWrap/>
            <w:vAlign w:val="center"/>
          </w:tcPr>
          <w:p>
            <w:pPr>
              <w:widowControl/>
              <w:spacing w:line="360" w:lineRule="exact"/>
              <w:jc w:val="center"/>
              <w:rPr>
                <w:color w:val="000000"/>
                <w:kern w:val="0"/>
                <w:sz w:val="28"/>
                <w:szCs w:val="28"/>
              </w:rPr>
            </w:pPr>
            <w:r>
              <w:rPr>
                <w:color w:val="000000"/>
                <w:kern w:val="0"/>
                <w:sz w:val="28"/>
                <w:szCs w:val="28"/>
              </w:rPr>
              <w:t>1</w:t>
            </w:r>
          </w:p>
        </w:tc>
        <w:tc>
          <w:tcPr>
            <w:tcW w:w="46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auto" w:sz="12" w:space="0"/>
            </w:tcBorders>
            <w:noWrap/>
            <w:vAlign w:val="center"/>
          </w:tcPr>
          <w:p>
            <w:pPr>
              <w:widowControl/>
              <w:spacing w:line="360" w:lineRule="exact"/>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953" w:type="dxa"/>
            <w:tcBorders>
              <w:top w:val="single" w:color="000000" w:sz="4" w:space="0"/>
              <w:left w:val="single" w:color="auto" w:sz="12" w:space="0"/>
              <w:bottom w:val="single" w:color="000000" w:sz="4" w:space="0"/>
              <w:right w:val="single" w:color="000000" w:sz="4" w:space="0"/>
            </w:tcBorders>
            <w:noWrap/>
            <w:vAlign w:val="center"/>
          </w:tcPr>
          <w:p>
            <w:pPr>
              <w:widowControl/>
              <w:spacing w:line="360" w:lineRule="exact"/>
              <w:jc w:val="center"/>
              <w:rPr>
                <w:color w:val="000000"/>
                <w:kern w:val="0"/>
                <w:sz w:val="28"/>
                <w:szCs w:val="28"/>
              </w:rPr>
            </w:pPr>
            <w:r>
              <w:rPr>
                <w:color w:val="000000"/>
                <w:kern w:val="0"/>
                <w:sz w:val="28"/>
                <w:szCs w:val="28"/>
              </w:rPr>
              <w:t>2</w:t>
            </w:r>
          </w:p>
        </w:tc>
        <w:tc>
          <w:tcPr>
            <w:tcW w:w="46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auto" w:sz="12" w:space="0"/>
            </w:tcBorders>
            <w:noWrap/>
            <w:vAlign w:val="center"/>
          </w:tcPr>
          <w:p>
            <w:pPr>
              <w:widowControl/>
              <w:spacing w:line="360" w:lineRule="exact"/>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953" w:type="dxa"/>
            <w:tcBorders>
              <w:top w:val="single" w:color="000000" w:sz="4" w:space="0"/>
              <w:left w:val="single" w:color="auto" w:sz="12" w:space="0"/>
              <w:bottom w:val="single" w:color="000000" w:sz="4" w:space="0"/>
              <w:right w:val="single" w:color="000000" w:sz="4" w:space="0"/>
            </w:tcBorders>
            <w:noWrap/>
            <w:vAlign w:val="center"/>
          </w:tcPr>
          <w:p>
            <w:pPr>
              <w:widowControl/>
              <w:spacing w:line="360" w:lineRule="exact"/>
              <w:jc w:val="center"/>
              <w:rPr>
                <w:color w:val="000000"/>
                <w:kern w:val="0"/>
                <w:sz w:val="28"/>
                <w:szCs w:val="28"/>
              </w:rPr>
            </w:pPr>
            <w:r>
              <w:rPr>
                <w:color w:val="000000"/>
                <w:kern w:val="0"/>
                <w:sz w:val="28"/>
                <w:szCs w:val="28"/>
              </w:rPr>
              <w:t>3</w:t>
            </w:r>
          </w:p>
        </w:tc>
        <w:tc>
          <w:tcPr>
            <w:tcW w:w="46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auto" w:sz="12" w:space="0"/>
            </w:tcBorders>
            <w:noWrap/>
            <w:vAlign w:val="center"/>
          </w:tcPr>
          <w:p>
            <w:pPr>
              <w:widowControl/>
              <w:spacing w:line="360" w:lineRule="exact"/>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953" w:type="dxa"/>
            <w:tcBorders>
              <w:top w:val="single" w:color="000000" w:sz="4" w:space="0"/>
              <w:left w:val="single" w:color="auto" w:sz="12" w:space="0"/>
              <w:bottom w:val="single" w:color="000000" w:sz="4" w:space="0"/>
              <w:right w:val="single" w:color="000000" w:sz="4" w:space="0"/>
            </w:tcBorders>
            <w:noWrap/>
            <w:vAlign w:val="center"/>
          </w:tcPr>
          <w:p>
            <w:pPr>
              <w:widowControl/>
              <w:spacing w:line="360" w:lineRule="exact"/>
              <w:jc w:val="center"/>
              <w:rPr>
                <w:color w:val="000000"/>
                <w:kern w:val="0"/>
                <w:sz w:val="28"/>
                <w:szCs w:val="28"/>
              </w:rPr>
            </w:pPr>
            <w:r>
              <w:rPr>
                <w:color w:val="000000"/>
                <w:kern w:val="0"/>
                <w:sz w:val="28"/>
                <w:szCs w:val="28"/>
              </w:rPr>
              <w:t>4</w:t>
            </w:r>
          </w:p>
        </w:tc>
        <w:tc>
          <w:tcPr>
            <w:tcW w:w="46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auto" w:sz="12" w:space="0"/>
            </w:tcBorders>
            <w:noWrap/>
            <w:vAlign w:val="center"/>
          </w:tcPr>
          <w:p>
            <w:pPr>
              <w:widowControl/>
              <w:spacing w:line="360" w:lineRule="exact"/>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953" w:type="dxa"/>
            <w:tcBorders>
              <w:top w:val="single" w:color="000000" w:sz="4" w:space="0"/>
              <w:left w:val="single" w:color="auto" w:sz="12" w:space="0"/>
              <w:bottom w:val="single" w:color="000000" w:sz="4" w:space="0"/>
              <w:right w:val="single" w:color="000000" w:sz="4" w:space="0"/>
            </w:tcBorders>
            <w:noWrap/>
            <w:vAlign w:val="center"/>
          </w:tcPr>
          <w:p>
            <w:pPr>
              <w:widowControl/>
              <w:spacing w:line="360" w:lineRule="exact"/>
              <w:jc w:val="center"/>
              <w:rPr>
                <w:color w:val="000000"/>
                <w:kern w:val="0"/>
                <w:sz w:val="28"/>
                <w:szCs w:val="28"/>
              </w:rPr>
            </w:pPr>
            <w:r>
              <w:rPr>
                <w:color w:val="000000"/>
                <w:kern w:val="0"/>
                <w:sz w:val="28"/>
                <w:szCs w:val="28"/>
              </w:rPr>
              <w:t>5</w:t>
            </w:r>
          </w:p>
        </w:tc>
        <w:tc>
          <w:tcPr>
            <w:tcW w:w="46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auto" w:sz="12" w:space="0"/>
            </w:tcBorders>
            <w:noWrap/>
            <w:vAlign w:val="center"/>
          </w:tcPr>
          <w:p>
            <w:pPr>
              <w:widowControl/>
              <w:spacing w:line="360" w:lineRule="exact"/>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953" w:type="dxa"/>
            <w:tcBorders>
              <w:top w:val="single" w:color="000000" w:sz="4" w:space="0"/>
              <w:left w:val="single" w:color="auto" w:sz="12" w:space="0"/>
              <w:bottom w:val="single" w:color="000000" w:sz="4" w:space="0"/>
              <w:right w:val="single" w:color="000000" w:sz="4" w:space="0"/>
            </w:tcBorders>
            <w:noWrap/>
            <w:vAlign w:val="center"/>
          </w:tcPr>
          <w:p>
            <w:pPr>
              <w:widowControl/>
              <w:spacing w:line="360" w:lineRule="exact"/>
              <w:jc w:val="center"/>
              <w:rPr>
                <w:color w:val="000000"/>
                <w:kern w:val="0"/>
                <w:sz w:val="28"/>
                <w:szCs w:val="28"/>
              </w:rPr>
            </w:pPr>
            <w:r>
              <w:rPr>
                <w:color w:val="000000"/>
                <w:kern w:val="0"/>
                <w:sz w:val="28"/>
                <w:szCs w:val="28"/>
              </w:rPr>
              <w:t>6</w:t>
            </w:r>
          </w:p>
        </w:tc>
        <w:tc>
          <w:tcPr>
            <w:tcW w:w="46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auto" w:sz="12" w:space="0"/>
            </w:tcBorders>
            <w:noWrap/>
            <w:vAlign w:val="center"/>
          </w:tcPr>
          <w:p>
            <w:pPr>
              <w:widowControl/>
              <w:spacing w:line="360" w:lineRule="exact"/>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953" w:type="dxa"/>
            <w:tcBorders>
              <w:top w:val="single" w:color="000000" w:sz="4" w:space="0"/>
              <w:left w:val="single" w:color="auto" w:sz="12" w:space="0"/>
              <w:bottom w:val="single" w:color="000000" w:sz="4" w:space="0"/>
              <w:right w:val="single" w:color="000000" w:sz="4" w:space="0"/>
            </w:tcBorders>
            <w:noWrap/>
            <w:vAlign w:val="center"/>
          </w:tcPr>
          <w:p>
            <w:pPr>
              <w:widowControl/>
              <w:spacing w:line="360" w:lineRule="exact"/>
              <w:jc w:val="center"/>
              <w:rPr>
                <w:color w:val="000000"/>
                <w:kern w:val="0"/>
                <w:sz w:val="28"/>
                <w:szCs w:val="28"/>
              </w:rPr>
            </w:pPr>
            <w:r>
              <w:rPr>
                <w:color w:val="000000"/>
                <w:kern w:val="0"/>
                <w:sz w:val="28"/>
                <w:szCs w:val="28"/>
              </w:rPr>
              <w:t>7</w:t>
            </w:r>
          </w:p>
        </w:tc>
        <w:tc>
          <w:tcPr>
            <w:tcW w:w="46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auto" w:sz="12" w:space="0"/>
            </w:tcBorders>
            <w:noWrap/>
            <w:vAlign w:val="center"/>
          </w:tcPr>
          <w:p>
            <w:pPr>
              <w:widowControl/>
              <w:spacing w:line="360" w:lineRule="exact"/>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953" w:type="dxa"/>
            <w:tcBorders>
              <w:top w:val="single" w:color="000000" w:sz="4" w:space="0"/>
              <w:left w:val="single" w:color="auto" w:sz="12" w:space="0"/>
              <w:bottom w:val="single" w:color="000000" w:sz="4" w:space="0"/>
              <w:right w:val="single" w:color="000000" w:sz="4" w:space="0"/>
            </w:tcBorders>
            <w:noWrap/>
            <w:vAlign w:val="center"/>
          </w:tcPr>
          <w:p>
            <w:pPr>
              <w:widowControl/>
              <w:spacing w:line="360" w:lineRule="exact"/>
              <w:jc w:val="center"/>
              <w:rPr>
                <w:color w:val="000000"/>
                <w:kern w:val="0"/>
                <w:sz w:val="28"/>
                <w:szCs w:val="28"/>
              </w:rPr>
            </w:pPr>
            <w:r>
              <w:rPr>
                <w:color w:val="000000"/>
                <w:kern w:val="0"/>
                <w:sz w:val="28"/>
                <w:szCs w:val="28"/>
              </w:rPr>
              <w:t>8</w:t>
            </w:r>
          </w:p>
        </w:tc>
        <w:tc>
          <w:tcPr>
            <w:tcW w:w="46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auto" w:sz="12" w:space="0"/>
            </w:tcBorders>
            <w:noWrap/>
            <w:vAlign w:val="center"/>
          </w:tcPr>
          <w:p>
            <w:pPr>
              <w:widowControl/>
              <w:spacing w:line="360" w:lineRule="exact"/>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510" w:hRule="atLeast"/>
          <w:jc w:val="center"/>
        </w:trPr>
        <w:tc>
          <w:tcPr>
            <w:tcW w:w="953" w:type="dxa"/>
            <w:tcBorders>
              <w:top w:val="single" w:color="000000" w:sz="4" w:space="0"/>
              <w:left w:val="single" w:color="auto" w:sz="12" w:space="0"/>
              <w:bottom w:val="single" w:color="000000" w:sz="4" w:space="0"/>
              <w:right w:val="single" w:color="000000" w:sz="4" w:space="0"/>
            </w:tcBorders>
            <w:noWrap/>
            <w:vAlign w:val="center"/>
          </w:tcPr>
          <w:p>
            <w:pPr>
              <w:widowControl/>
              <w:spacing w:line="360" w:lineRule="exact"/>
              <w:jc w:val="center"/>
              <w:rPr>
                <w:color w:val="000000"/>
                <w:kern w:val="0"/>
                <w:sz w:val="28"/>
                <w:szCs w:val="28"/>
              </w:rPr>
            </w:pPr>
            <w:r>
              <w:rPr>
                <w:color w:val="000000"/>
                <w:kern w:val="0"/>
                <w:sz w:val="28"/>
                <w:szCs w:val="28"/>
              </w:rPr>
              <w:t>9</w:t>
            </w:r>
          </w:p>
        </w:tc>
        <w:tc>
          <w:tcPr>
            <w:tcW w:w="462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rPr>
                <w:rFonts w:ascii="宋体" w:hAnsi="宋体" w:cs="宋体"/>
                <w:color w:val="000000"/>
                <w:kern w:val="0"/>
                <w:sz w:val="28"/>
                <w:szCs w:val="28"/>
              </w:rPr>
            </w:pPr>
          </w:p>
        </w:tc>
        <w:tc>
          <w:tcPr>
            <w:tcW w:w="2032" w:type="dxa"/>
            <w:tcBorders>
              <w:top w:val="single" w:color="000000" w:sz="4" w:space="0"/>
              <w:left w:val="single" w:color="000000" w:sz="4" w:space="0"/>
              <w:bottom w:val="single" w:color="000000" w:sz="4" w:space="0"/>
              <w:right w:val="single" w:color="auto" w:sz="12" w:space="0"/>
            </w:tcBorders>
            <w:noWrap/>
            <w:vAlign w:val="center"/>
          </w:tcPr>
          <w:p>
            <w:pPr>
              <w:widowControl/>
              <w:spacing w:line="360" w:lineRule="exact"/>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907" w:hRule="atLeast"/>
          <w:jc w:val="center"/>
        </w:trPr>
        <w:tc>
          <w:tcPr>
            <w:tcW w:w="9639" w:type="dxa"/>
            <w:gridSpan w:val="4"/>
            <w:tcBorders>
              <w:top w:val="single" w:color="000000" w:sz="4" w:space="0"/>
              <w:left w:val="single" w:color="auto" w:sz="12" w:space="0"/>
              <w:bottom w:val="single" w:color="000000" w:sz="4" w:space="0"/>
              <w:right w:val="single" w:color="auto" w:sz="12" w:space="0"/>
            </w:tcBorders>
            <w:noWrap w:val="0"/>
            <w:vAlign w:val="center"/>
          </w:tcPr>
          <w:p>
            <w:pPr>
              <w:widowControl/>
              <w:spacing w:line="480" w:lineRule="exact"/>
              <w:ind w:firstLine="552" w:firstLineChars="200"/>
              <w:rPr>
                <w:rFonts w:ascii="宋体" w:hAnsi="宋体" w:cs="宋体"/>
                <w:color w:val="000000"/>
                <w:kern w:val="0"/>
                <w:sz w:val="28"/>
                <w:szCs w:val="28"/>
              </w:rPr>
            </w:pPr>
            <w:r>
              <w:rPr>
                <w:rFonts w:hint="eastAsia" w:ascii="宋体" w:hAnsi="宋体" w:cs="宋体"/>
                <w:color w:val="000000"/>
                <w:kern w:val="0"/>
                <w:sz w:val="28"/>
                <w:szCs w:val="28"/>
              </w:rPr>
              <w:t>以上资料经我单位初审通过，所有材料真实、合法、无虚假、歪曲、舞弊现象，请将上述资料补充至项目评审档案。</w:t>
            </w:r>
          </w:p>
        </w:tc>
      </w:tr>
      <w:tr>
        <w:tblPrEx>
          <w:tblCellMar>
            <w:top w:w="0" w:type="dxa"/>
            <w:left w:w="108" w:type="dxa"/>
            <w:bottom w:w="0" w:type="dxa"/>
            <w:right w:w="108" w:type="dxa"/>
          </w:tblCellMar>
        </w:tblPrEx>
        <w:trPr>
          <w:trHeight w:val="1701" w:hRule="atLeast"/>
          <w:jc w:val="center"/>
        </w:trPr>
        <w:tc>
          <w:tcPr>
            <w:tcW w:w="9639" w:type="dxa"/>
            <w:gridSpan w:val="4"/>
            <w:tcBorders>
              <w:top w:val="single" w:color="000000" w:sz="4" w:space="0"/>
              <w:left w:val="single" w:color="auto" w:sz="12" w:space="0"/>
              <w:bottom w:val="single" w:color="000000" w:sz="4" w:space="0"/>
              <w:right w:val="single" w:color="auto" w:sz="12" w:space="0"/>
            </w:tcBorders>
            <w:noWrap w:val="0"/>
            <w:vAlign w:val="center"/>
          </w:tcPr>
          <w:p>
            <w:pPr>
              <w:widowControl/>
              <w:jc w:val="left"/>
              <w:rPr>
                <w:rFonts w:hint="eastAsia" w:ascii="宋体" w:hAnsi="宋体" w:cs="宋体"/>
                <w:color w:val="000000"/>
                <w:kern w:val="0"/>
                <w:sz w:val="28"/>
                <w:szCs w:val="28"/>
              </w:rPr>
            </w:pPr>
            <w:r>
              <w:rPr>
                <w:rFonts w:hint="eastAsia" w:ascii="宋体" w:hAnsi="宋体" w:cs="宋体"/>
                <w:color w:val="000000"/>
                <w:kern w:val="0"/>
                <w:sz w:val="28"/>
                <w:szCs w:val="28"/>
              </w:rPr>
              <w:t>建设单位公章：                          项目负责人签字：</w:t>
            </w:r>
          </w:p>
          <w:p>
            <w:pPr>
              <w:widowControl/>
              <w:jc w:val="left"/>
              <w:rPr>
                <w:rFonts w:ascii="宋体" w:hAnsi="宋体" w:cs="宋体"/>
                <w:color w:val="000000"/>
                <w:kern w:val="0"/>
                <w:sz w:val="28"/>
                <w:szCs w:val="28"/>
              </w:rPr>
            </w:pPr>
            <w:r>
              <w:rPr>
                <w:rFonts w:hint="eastAsia" w:ascii="宋体" w:hAnsi="宋体" w:cs="宋体"/>
                <w:color w:val="000000"/>
                <w:kern w:val="0"/>
                <w:sz w:val="28"/>
                <w:szCs w:val="28"/>
              </w:rPr>
              <w:t>二次补报需项目单位法人签字：</w:t>
            </w:r>
          </w:p>
        </w:tc>
      </w:tr>
      <w:tr>
        <w:tblPrEx>
          <w:tblCellMar>
            <w:top w:w="0" w:type="dxa"/>
            <w:left w:w="108" w:type="dxa"/>
            <w:bottom w:w="0" w:type="dxa"/>
            <w:right w:w="108" w:type="dxa"/>
          </w:tblCellMar>
        </w:tblPrEx>
        <w:trPr>
          <w:trHeight w:val="1134" w:hRule="atLeast"/>
          <w:jc w:val="center"/>
        </w:trPr>
        <w:tc>
          <w:tcPr>
            <w:tcW w:w="9639" w:type="dxa"/>
            <w:gridSpan w:val="4"/>
            <w:tcBorders>
              <w:top w:val="single" w:color="000000" w:sz="4" w:space="0"/>
              <w:left w:val="single" w:color="auto" w:sz="12" w:space="0"/>
              <w:bottom w:val="single" w:color="auto" w:sz="12" w:space="0"/>
              <w:right w:val="single" w:color="auto" w:sz="12" w:space="0"/>
            </w:tcBorders>
            <w:noWrap w:val="0"/>
            <w:vAlign w:val="top"/>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资料交接记录：</w:t>
            </w:r>
          </w:p>
        </w:tc>
      </w:tr>
    </w:tbl>
    <w:p>
      <w:pPr>
        <w:ind w:firstLine="632" w:firstLineChars="200"/>
        <w:rPr>
          <w:rFonts w:hint="eastAsia" w:ascii="黑体" w:hAnsi="黑体" w:eastAsia="黑体"/>
          <w:bCs/>
          <w:color w:val="000000"/>
          <w:sz w:val="32"/>
          <w:szCs w:val="32"/>
        </w:rPr>
      </w:pPr>
    </w:p>
    <w:p>
      <w:pPr>
        <w:ind w:firstLine="632" w:firstLineChars="200"/>
        <w:rPr>
          <w:rFonts w:hint="eastAsia" w:ascii="黑体" w:hAnsi="黑体" w:eastAsia="黑体"/>
          <w:bCs/>
          <w:color w:val="000000"/>
          <w:sz w:val="32"/>
          <w:szCs w:val="32"/>
        </w:rPr>
      </w:pPr>
    </w:p>
    <w:p>
      <w:pPr>
        <w:rPr>
          <w:rFonts w:hint="eastAsia" w:ascii="黑体" w:hAnsi="黑体" w:eastAsia="黑体"/>
          <w:bCs/>
          <w:color w:val="000000"/>
          <w:sz w:val="32"/>
          <w:szCs w:val="32"/>
        </w:rPr>
      </w:pPr>
      <w:r>
        <w:rPr>
          <w:rFonts w:hint="eastAsia" w:ascii="黑体" w:hAnsi="黑体" w:eastAsia="黑体"/>
          <w:bCs/>
          <w:color w:val="000000"/>
          <w:sz w:val="32"/>
          <w:szCs w:val="32"/>
        </w:rPr>
        <w:t>附件4</w:t>
      </w:r>
    </w:p>
    <w:tbl>
      <w:tblPr>
        <w:tblStyle w:val="5"/>
        <w:tblpPr w:leftFromText="180" w:rightFromText="180" w:vertAnchor="text" w:horzAnchor="page" w:tblpX="1107" w:tblpY="614"/>
        <w:tblOverlap w:val="never"/>
        <w:tblW w:w="10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13"/>
        <w:gridCol w:w="2287"/>
        <w:gridCol w:w="2427"/>
        <w:gridCol w:w="1212"/>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5" w:hRule="atLeast"/>
        </w:trPr>
        <w:tc>
          <w:tcPr>
            <w:tcW w:w="10260"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sz w:val="40"/>
                <w:szCs w:val="40"/>
                <w:u w:val="none"/>
              </w:rPr>
              <w:t>项目评审定案表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工程类别</w:t>
            </w:r>
          </w:p>
        </w:tc>
        <w:tc>
          <w:tcPr>
            <w:tcW w:w="864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864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161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项目审核情况</w:t>
            </w: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报审金额</w:t>
            </w:r>
          </w:p>
        </w:tc>
        <w:tc>
          <w:tcPr>
            <w:tcW w:w="2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报审时间</w:t>
            </w:r>
          </w:p>
        </w:tc>
        <w:tc>
          <w:tcPr>
            <w:tcW w:w="2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16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审定金额</w:t>
            </w:r>
          </w:p>
        </w:tc>
        <w:tc>
          <w:tcPr>
            <w:tcW w:w="2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审定时间</w:t>
            </w:r>
          </w:p>
        </w:tc>
        <w:tc>
          <w:tcPr>
            <w:tcW w:w="2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161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审减金额</w:t>
            </w:r>
          </w:p>
        </w:tc>
        <w:tc>
          <w:tcPr>
            <w:tcW w:w="2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 减 率</w:t>
            </w:r>
          </w:p>
        </w:tc>
        <w:tc>
          <w:tcPr>
            <w:tcW w:w="2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1" w:hRule="atLeast"/>
        </w:trPr>
        <w:tc>
          <w:tcPr>
            <w:tcW w:w="1026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ind w:firstLine="1180" w:firstLineChars="50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建设单位：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负责人：</w:t>
            </w:r>
            <w:r>
              <w:rPr>
                <w:rFonts w:hint="eastAsia" w:ascii="宋体" w:hAnsi="宋体" w:eastAsia="宋体" w:cs="宋体"/>
                <w:i w:val="0"/>
                <w:color w:val="000000"/>
                <w:kern w:val="0"/>
                <w:sz w:val="24"/>
                <w:szCs w:val="24"/>
                <w:u w:val="none"/>
                <w:lang w:val="en-US" w:eastAsia="zh-CN" w:bidi="ar"/>
              </w:rPr>
              <w:br w:type="textWrapping"/>
            </w:r>
          </w:p>
          <w:p>
            <w:pPr>
              <w:keepNext w:val="0"/>
              <w:keepLines w:val="0"/>
              <w:widowControl/>
              <w:suppressLineNumbers w:val="0"/>
              <w:ind w:firstLine="1180" w:firstLineChars="50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bl>
    <w:p>
      <w:pPr>
        <w:pStyle w:val="2"/>
        <w:rPr>
          <w:rFonts w:hint="eastAsia" w:ascii="仿宋_GB2312" w:hAnsi="仿宋_GB2312" w:eastAsia="仿宋_GB2312" w:cs="仿宋_GB2312"/>
          <w:color w:val="auto"/>
          <w:sz w:val="32"/>
          <w:szCs w:val="32"/>
          <w:lang w:val="en-US" w:eastAsia="zh-CN"/>
        </w:rPr>
      </w:pPr>
    </w:p>
    <w:p>
      <w:bookmarkStart w:id="0" w:name="_GoBack"/>
      <w:bookmarkEnd w:id="0"/>
    </w:p>
    <w:sectPr>
      <w:footerReference r:id="rId6" w:type="first"/>
      <w:headerReference r:id="rId3" w:type="default"/>
      <w:footerReference r:id="rId4" w:type="default"/>
      <w:footerReference r:id="rId5" w:type="even"/>
      <w:pgSz w:w="11906" w:h="16838"/>
      <w:pgMar w:top="2098" w:right="1474" w:bottom="1418" w:left="1588" w:header="340" w:footer="1247"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３</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ZtZns8AAAAFAQAADwAAAAAAAAABACAAAAAiAAAAZHJzL2Rv&#10;d25yZXYueG1sUEsBAhQAFAAAAAgAh07iQEKwBILRAQAAowMAAA4AAAAAAAAAAQAgAAAAHgEAAGRy&#10;cy9lMm9Eb2MueG1sUEsFBgAAAAAGAAYAWQEAAGEFAAAAAA==&#10;">
              <v:path/>
              <v:fill on="f" focussize="0,0"/>
              <v:stroke on="f" weight="1.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３</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ZtZns8AAAAFAQAADwAAAAAAAAABACAAAAAiAAAAZHJzL2Rv&#10;d25yZXYueG1sUEsBAhQAFAAAAAgAh07iQOsuqJzRAQAAowMAAA4AAAAAAAAAAQAgAAAAHgEAAGRy&#10;cy9lMm9Eb2MueG1sUEsFBgAAAAAGAAYAWQEAAGEFAAAAAA==&#10;">
              <v:path/>
              <v:fill on="f" focussize="0,0"/>
              <v:stroke on="f" weight="1.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方正小标宋简体" w:eastAsia="方正小标宋简体"/>
        <w:sz w:val="44"/>
      </w:rPr>
      <mc:AlternateContent>
        <mc:Choice Requires="wps">
          <w:drawing>
            <wp:anchor distT="0" distB="0" distL="114300" distR="114300" simplePos="0" relativeHeight="251662336" behindDoc="0" locked="0" layoutInCell="1" allowOverlap="1">
              <wp:simplePos x="0" y="0"/>
              <wp:positionH relativeFrom="margin">
                <wp:posOffset>-290195</wp:posOffset>
              </wp:positionH>
              <wp:positionV relativeFrom="margin">
                <wp:posOffset>8352790</wp:posOffset>
              </wp:positionV>
              <wp:extent cx="6120130" cy="0"/>
              <wp:effectExtent l="0" t="28575" r="6350" b="32385"/>
              <wp:wrapNone/>
              <wp:docPr id="2" name="直接连接符 2"/>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85pt;margin-top:657.7pt;height:0pt;width:481.9pt;mso-position-horizontal-relative:margin;mso-position-vertical-relative:margin;z-index:251662336;mso-width-relative:page;mso-height-relative:page;" filled="f" stroked="t" coordsize="21600,21600" o:gfxdata="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Wl+S9gAAAANAQAADwAAAAAAAAABACAAAAAiAAAAZHJzL2Rvd25yZXYu&#10;eG1sUEsBAhQAFAAAAAgAh07iQCzWM3P7AQAA6wMAAA4AAAAAAAAAAQAgAAAAJwEAAGRycy9lMm9E&#10;b2MueG1sUEsFBgAAAAAGAAYAWQEAAJQFAAAAAA==&#10;">
              <v:path arrowok="t"/>
              <v:fill on="f" focussize="0,0"/>
              <v:stroke weight="4.5pt" color="#FF0000" linestyle="thinThick"/>
              <v:imagedata o:title=""/>
              <o:lock v:ext="edit" grouping="f" rotation="f" text="f" aspectratio="f"/>
            </v:lin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dm1mezwAAAAUBAAAPAAAAAAAAAAEAIAAAACIAAABkcnMvZG93&#10;bnJldi54bWxQSwECFAAUAAAACACHTuJAqdfxRNABAACjAwAADgAAAAAAAAABACAAAAAeAQAAZHJz&#10;L2Uyb0RvYy54bWxQSwUGAAAAAAYABgBZAQAAYAUAAAAA&#10;">
              <v:path/>
              <v:fill on="f" focussize="0,0"/>
              <v:stroke on="f" weight="1.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0"/>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ZjhjMWVkZjgyNDU1YTJiMTQ5Y2M2NjVlZThhMTcifQ=="/>
  </w:docVars>
  <w:rsids>
    <w:rsidRoot w:val="00000000"/>
    <w:rsid w:val="528B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563C1"/>
      <w:u w:val="single"/>
    </w:rPr>
  </w:style>
  <w:style w:type="paragraph" w:customStyle="1"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2023-12-05T01:53:29Z</dcterms:created>
  <dc:creator>Administrator</dc:creator>
  <cp:lastModifiedBy>Administrator</cp:lastModifiedBy>
  <dcterms:modified xsi:type="dcterms:W3CDTF">2023-12-05T01:53:56Z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82FE31B596C841A48C930A7B0575A10B_12</vt:lpwstr>
  </property>
</Properties>
</file>